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3F66B4" w:rsidP="00261F9D">
            <w:r>
              <w:t>Ing. Aneta Dolanská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3F66B4" w:rsidP="00261F9D">
            <w:r>
              <w:t>Pracovní spokojenost středoškolských učitelů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3F66B4" w:rsidP="00261F9D">
            <w:r>
              <w:t>Mgr. Viktor Pacholík, Ph.D.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3F66B4" w:rsidP="003F66B4">
            <w:r>
              <w:t>Učitelství odborných předmětů pro SŠ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3F66B4" w:rsidP="00261F9D">
            <w:r>
              <w:t>Kombinovaná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2E40F3" w:rsidP="00261F9D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3F66B4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0D2221" w:rsidP="000D2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představuje </w:t>
            </w:r>
            <w:r w:rsidR="000D22E5">
              <w:rPr>
                <w:sz w:val="22"/>
                <w:szCs w:val="22"/>
              </w:rPr>
              <w:t>dostatečnou</w:t>
            </w:r>
            <w:r>
              <w:rPr>
                <w:sz w:val="22"/>
                <w:szCs w:val="22"/>
              </w:rPr>
              <w:t xml:space="preserve"> sondu do problematiky </w:t>
            </w:r>
            <w:r>
              <w:rPr>
                <w:sz w:val="22"/>
                <w:szCs w:val="22"/>
              </w:rPr>
              <w:t>pracovní motivace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Autorka se dotýká všech stěžejních témat. Nejasná je z mého pohledu kapitola </w:t>
            </w:r>
            <w:r>
              <w:rPr>
                <w:i/>
                <w:sz w:val="22"/>
                <w:szCs w:val="22"/>
              </w:rPr>
              <w:t>1.1.1</w:t>
            </w:r>
            <w:r>
              <w:rPr>
                <w:sz w:val="22"/>
                <w:szCs w:val="22"/>
              </w:rPr>
              <w:t xml:space="preserve">, která je z větší části věnována spokojenosti zákazníka. Ačkoli autorka uvádí úzký vztah mezi pracovní spokojeností učitelů a spokojeností zákazníka, vnímám obě proměnné jako značně </w:t>
            </w:r>
            <w:r w:rsidR="0092537A">
              <w:rPr>
                <w:sz w:val="22"/>
                <w:szCs w:val="22"/>
              </w:rPr>
              <w:t>rozdílné</w:t>
            </w:r>
            <w:r>
              <w:rPr>
                <w:sz w:val="22"/>
                <w:szCs w:val="22"/>
              </w:rPr>
              <w:t xml:space="preserve">, neboť jsou syceny uspokojováním zcela odlišných potřeb. </w:t>
            </w:r>
            <w:r w:rsidR="0092537A">
              <w:rPr>
                <w:sz w:val="22"/>
                <w:szCs w:val="22"/>
              </w:rPr>
              <w:t xml:space="preserve">Po formální stránce je třeba upozornit na časté problémy s uváděním citovaných zdrojů, které často chybí v seznamu literatury (např. </w:t>
            </w:r>
            <w:proofErr w:type="spellStart"/>
            <w:r w:rsidR="0092537A">
              <w:rPr>
                <w:sz w:val="22"/>
                <w:szCs w:val="22"/>
              </w:rPr>
              <w:t>Štikar</w:t>
            </w:r>
            <w:proofErr w:type="spellEnd"/>
            <w:r w:rsidR="0092537A">
              <w:rPr>
                <w:sz w:val="22"/>
                <w:szCs w:val="22"/>
              </w:rPr>
              <w:t xml:space="preserve">, 2013; Travers a Cooper, 1996 a další). V některých případech jde zřejmě o nesprávně uvedený odkaz na sekundární zdroj. </w:t>
            </w:r>
            <w:r w:rsidR="000D22E5">
              <w:rPr>
                <w:sz w:val="22"/>
                <w:szCs w:val="22"/>
              </w:rPr>
              <w:t>V</w:t>
            </w:r>
            <w:r w:rsidR="0092537A">
              <w:rPr>
                <w:sz w:val="22"/>
                <w:szCs w:val="22"/>
              </w:rPr>
              <w:t> případě pracovní motivace existuje dostatek literárních pramenů (Mikuláštík, Provazník, Buchtová), nebylo tak třeba čerpat z internetových zdrojů.</w:t>
            </w:r>
          </w:p>
          <w:p w:rsidR="002E40F3" w:rsidRDefault="00D012C1" w:rsidP="000D22E5">
            <w:pPr>
              <w:jc w:val="both"/>
            </w:pPr>
            <w:r>
              <w:t xml:space="preserve">V empirické části autorka prezentuje dotazníkové šetření provedené u skupiny středoškolských pedagogů. Za slabinu považuji relativně malý výzkumný soubor (4 střední školy), což je ve vztahu ke stanoveným výzkumným cílům nutné vnímat jako nedostatečné. Namísto elektronické komunikace by pro </w:t>
            </w:r>
            <w:r w:rsidR="000D22E5">
              <w:t>oslovení škol</w:t>
            </w:r>
            <w:r>
              <w:t xml:space="preserve"> byl vhodnější osobní </w:t>
            </w:r>
            <w:r w:rsidR="000D22E5">
              <w:t>kontakt</w:t>
            </w:r>
            <w:r>
              <w:t>. Malý výzkumný soubor znemožňuje naplnění některých ze stanovených výzkumných cílů.</w:t>
            </w:r>
          </w:p>
          <w:p w:rsidR="002E40F3" w:rsidRPr="00FE1061" w:rsidRDefault="00D012C1" w:rsidP="000D22E5">
            <w:pPr>
              <w:jc w:val="both"/>
            </w:pPr>
            <w:r>
              <w:t>Práce splňuje požadavky kladené na tento typ závěrečné práce, proto ji doporučuji k obhajobě.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F360DA" w:rsidP="00DF7818">
            <w:pPr>
              <w:pStyle w:val="Odstavecseseznamem"/>
              <w:numPr>
                <w:ilvl w:val="0"/>
                <w:numId w:val="4"/>
              </w:numPr>
              <w:ind w:left="444"/>
              <w:jc w:val="both"/>
            </w:pPr>
            <w:r>
              <w:t xml:space="preserve">Z čeho jste vycházela při formulaci pracovních hypotéz, především o vztahu </w:t>
            </w:r>
            <w:proofErr w:type="spellStart"/>
            <w:r>
              <w:t>prac</w:t>
            </w:r>
            <w:proofErr w:type="spellEnd"/>
            <w:r>
              <w:t xml:space="preserve">. </w:t>
            </w:r>
            <w:proofErr w:type="gramStart"/>
            <w:r>
              <w:t>spokojenosti</w:t>
            </w:r>
            <w:proofErr w:type="gramEnd"/>
            <w:r>
              <w:t xml:space="preserve">? Na str. 40 zmiňujete rozporuplný vztah pracovní spokojenosti a věku. </w:t>
            </w:r>
          </w:p>
          <w:p w:rsidR="00F360DA" w:rsidRPr="00FE1061" w:rsidRDefault="00F360DA" w:rsidP="00DF7818">
            <w:pPr>
              <w:pStyle w:val="Odstavecseseznamem"/>
              <w:numPr>
                <w:ilvl w:val="0"/>
                <w:numId w:val="4"/>
              </w:numPr>
              <w:ind w:left="444"/>
              <w:jc w:val="both"/>
            </w:pPr>
            <w:r>
              <w:t>Podle čeho jste stanovila kategorie délky praxe? Na str. 41 vysvětlujete pouze dvě střední kategorie.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  <w:r w:rsidRPr="00E85A2C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DF7818" w:rsidRDefault="002E40F3" w:rsidP="002E40F3">
            <w:pPr>
              <w:rPr>
                <w:sz w:val="18"/>
              </w:rPr>
            </w:pPr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DF7818">
              <w:rPr>
                <w:sz w:val="22"/>
                <w:szCs w:val="22"/>
              </w:rPr>
              <w:fldChar w:fldCharType="begin"/>
            </w:r>
            <w:r w:rsidR="00DF7818">
              <w:rPr>
                <w:sz w:val="22"/>
                <w:szCs w:val="22"/>
              </w:rPr>
              <w:instrText xml:space="preserve"> DATE  \@ "d. M. yyyy"  \* MERGEFORMAT </w:instrText>
            </w:r>
            <w:r w:rsidR="00DF7818">
              <w:rPr>
                <w:sz w:val="22"/>
                <w:szCs w:val="22"/>
              </w:rPr>
              <w:fldChar w:fldCharType="separate"/>
            </w:r>
            <w:r w:rsidR="00DF7818">
              <w:rPr>
                <w:noProof/>
                <w:sz w:val="22"/>
                <w:szCs w:val="22"/>
              </w:rPr>
              <w:t>18. 5. 2016</w:t>
            </w:r>
            <w:r w:rsidR="00DF7818">
              <w:rPr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D012C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5F" w:rsidRDefault="001D2C5F" w:rsidP="001471ED">
      <w:r>
        <w:separator/>
      </w:r>
    </w:p>
  </w:endnote>
  <w:endnote w:type="continuationSeparator" w:id="0">
    <w:p w:rsidR="001D2C5F" w:rsidRDefault="001D2C5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5F" w:rsidRDefault="001D2C5F" w:rsidP="001471ED">
      <w:r>
        <w:separator/>
      </w:r>
    </w:p>
  </w:footnote>
  <w:footnote w:type="continuationSeparator" w:id="0">
    <w:p w:rsidR="001D2C5F" w:rsidRDefault="001D2C5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7C5E"/>
    <w:multiLevelType w:val="hybridMultilevel"/>
    <w:tmpl w:val="B3C40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054BE"/>
    <w:multiLevelType w:val="hybridMultilevel"/>
    <w:tmpl w:val="92228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D2221"/>
    <w:rsid w:val="000D22E5"/>
    <w:rsid w:val="000E102F"/>
    <w:rsid w:val="00102BCF"/>
    <w:rsid w:val="001268F2"/>
    <w:rsid w:val="001471ED"/>
    <w:rsid w:val="001D2C5F"/>
    <w:rsid w:val="001D33EA"/>
    <w:rsid w:val="002E40F3"/>
    <w:rsid w:val="00385E1B"/>
    <w:rsid w:val="003E5B22"/>
    <w:rsid w:val="003F66B4"/>
    <w:rsid w:val="00417493"/>
    <w:rsid w:val="0046273A"/>
    <w:rsid w:val="004A0F0E"/>
    <w:rsid w:val="00501834"/>
    <w:rsid w:val="0053742C"/>
    <w:rsid w:val="005A5D39"/>
    <w:rsid w:val="006D3086"/>
    <w:rsid w:val="006F3266"/>
    <w:rsid w:val="00851C00"/>
    <w:rsid w:val="008D4BFE"/>
    <w:rsid w:val="008D553A"/>
    <w:rsid w:val="008D70D2"/>
    <w:rsid w:val="00910BA0"/>
    <w:rsid w:val="0092537A"/>
    <w:rsid w:val="00974F9A"/>
    <w:rsid w:val="009B69DC"/>
    <w:rsid w:val="00AA58C0"/>
    <w:rsid w:val="00B21FD8"/>
    <w:rsid w:val="00B94260"/>
    <w:rsid w:val="00D012C1"/>
    <w:rsid w:val="00D22072"/>
    <w:rsid w:val="00D54AA4"/>
    <w:rsid w:val="00DF7818"/>
    <w:rsid w:val="00E85A2C"/>
    <w:rsid w:val="00F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E4BD2-6B4E-4C3D-800C-0B78CE66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27B30E0-C395-4E8D-95F5-45B75819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4</cp:revision>
  <dcterms:created xsi:type="dcterms:W3CDTF">2016-05-18T08:28:00Z</dcterms:created>
  <dcterms:modified xsi:type="dcterms:W3CDTF">2016-05-18T08:58:00Z</dcterms:modified>
</cp:coreProperties>
</file>