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621A3F" w:rsidRDefault="009A1CAF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Denisa </w:t>
            </w:r>
            <w:proofErr w:type="spellStart"/>
            <w:r>
              <w:rPr>
                <w:lang w:val="sk-SK"/>
              </w:rPr>
              <w:t>Ireinová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9A1CAF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Slovní zásoba </w:t>
            </w:r>
            <w:proofErr w:type="spellStart"/>
            <w:r>
              <w:rPr>
                <w:lang w:val="sk-SK"/>
              </w:rPr>
              <w:t>dítěte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předškolního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véku</w:t>
            </w:r>
            <w:proofErr w:type="spellEnd"/>
            <w:r>
              <w:rPr>
                <w:lang w:val="sk-SK"/>
              </w:rPr>
              <w:t xml:space="preserve"> v </w:t>
            </w:r>
            <w:proofErr w:type="spellStart"/>
            <w:r>
              <w:rPr>
                <w:lang w:val="sk-SK"/>
              </w:rPr>
              <w:t>sociální</w:t>
            </w:r>
            <w:proofErr w:type="spellEnd"/>
            <w:r>
              <w:rPr>
                <w:lang w:val="sk-SK"/>
              </w:rPr>
              <w:t xml:space="preserve"> oblasti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proofErr w:type="spellStart"/>
            <w:r w:rsidRPr="00621A3F">
              <w:rPr>
                <w:lang w:val="sk-SK"/>
              </w:rPr>
              <w:t>Kombin</w:t>
            </w:r>
            <w:proofErr w:type="spellEnd"/>
            <w:r w:rsidRPr="00621A3F"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E22824" w:rsidRDefault="00B6344D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DA11E6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9A1CAF" w:rsidRPr="009A1CAF">
              <w:rPr>
                <w:sz w:val="22"/>
                <w:szCs w:val="22"/>
                <w:lang w:val="sk-SK"/>
              </w:rPr>
              <w:t xml:space="preserve"> Zaujímavejšia ako teoretická časť bola výskumná časť práce. </w:t>
            </w:r>
            <w:r w:rsidR="009A1CAF">
              <w:rPr>
                <w:sz w:val="22"/>
                <w:szCs w:val="22"/>
                <w:lang w:val="sk-SK"/>
              </w:rPr>
              <w:t xml:space="preserve">Študentka pomerne dobre zvládla testovaciu procedúru a vhodne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tabuľkovala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 výsledky. Ich interpretácia však bola slabšia. Výsledky pomerne dobre odrážajú svet detí, ktorý zase zosobňuje ich slovná zásoba (napr. nízke skóre slov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srp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kadeřnice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pomlázka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vyské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 skóre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dvojčata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A1CAF">
              <w:rPr>
                <w:sz w:val="22"/>
                <w:szCs w:val="22"/>
                <w:lang w:val="sk-SK"/>
              </w:rPr>
              <w:t>postel</w:t>
            </w:r>
            <w:proofErr w:type="spellEnd"/>
            <w:r w:rsidR="009A1CAF">
              <w:rPr>
                <w:sz w:val="22"/>
                <w:szCs w:val="22"/>
                <w:lang w:val="sk-SK"/>
              </w:rPr>
              <w:t xml:space="preserve">). Prekvapuje vyšší výkon detí z dediny nad mestom. </w:t>
            </w:r>
          </w:p>
          <w:p w:rsidR="00A76771" w:rsidRPr="00621A3F" w:rsidRDefault="00A76771" w:rsidP="00DA11E6">
            <w:pPr>
              <w:rPr>
                <w:b/>
                <w:lang w:val="sk-SK"/>
              </w:rPr>
            </w:pPr>
          </w:p>
          <w:p w:rsidR="00B6344D" w:rsidRPr="00621A3F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E22824" w:rsidTr="00FA6E00">
        <w:tc>
          <w:tcPr>
            <w:tcW w:w="5000" w:type="pct"/>
            <w:gridSpan w:val="8"/>
          </w:tcPr>
          <w:p w:rsidR="00002BCA" w:rsidRPr="00E22824" w:rsidRDefault="00002BCA" w:rsidP="00261F9D">
            <w:pPr>
              <w:rPr>
                <w:rFonts w:ascii="Calibri" w:hAnsi="Calibri"/>
                <w:b/>
                <w:lang w:val="sk-SK"/>
              </w:rPr>
            </w:pPr>
            <w:r w:rsidRPr="00E22824">
              <w:rPr>
                <w:rFonts w:ascii="Calibri" w:hAnsi="Calibri"/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E22824">
              <w:rPr>
                <w:rFonts w:ascii="Calibri" w:hAnsi="Calibri"/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E22824">
              <w:rPr>
                <w:rFonts w:ascii="Calibri" w:hAnsi="Calibri"/>
                <w:b/>
                <w:sz w:val="22"/>
                <w:szCs w:val="22"/>
                <w:lang w:val="sk-SK"/>
              </w:rPr>
              <w:t>:</w:t>
            </w:r>
          </w:p>
          <w:p w:rsidR="009A1CAF" w:rsidRPr="00E22824" w:rsidRDefault="00A76771" w:rsidP="009A1CAF">
            <w:pPr>
              <w:rPr>
                <w:rFonts w:ascii="Calibri" w:hAnsi="Calibri"/>
                <w:sz w:val="22"/>
                <w:szCs w:val="22"/>
                <w:lang w:val="sk-SK"/>
              </w:rPr>
            </w:pPr>
            <w:r w:rsidRPr="00E22824">
              <w:rPr>
                <w:rFonts w:ascii="Calibri" w:hAnsi="Calibri"/>
                <w:sz w:val="22"/>
                <w:szCs w:val="22"/>
                <w:lang w:val="sk-SK"/>
              </w:rPr>
              <w:t>1.</w:t>
            </w:r>
            <w:r w:rsidR="009A1CAF" w:rsidRPr="00E22824">
              <w:rPr>
                <w:rFonts w:ascii="Calibri" w:hAnsi="Calibri"/>
                <w:sz w:val="22"/>
                <w:szCs w:val="22"/>
                <w:lang w:val="sk-SK"/>
              </w:rPr>
              <w:t xml:space="preserve"> Vysvetlite, prečo dosiahli deti z dediny vyššie skóre ako deti z mesta.</w:t>
            </w:r>
          </w:p>
          <w:p w:rsidR="00002BCA" w:rsidRPr="00E22824" w:rsidRDefault="00A76771" w:rsidP="00E22824">
            <w:pPr>
              <w:rPr>
                <w:rFonts w:ascii="Calibri" w:hAnsi="Calibri"/>
                <w:smallCaps/>
                <w:lang w:val="sk-SK"/>
              </w:rPr>
            </w:pPr>
            <w:r w:rsidRPr="00E22824">
              <w:rPr>
                <w:rFonts w:ascii="Calibri" w:hAnsi="Calibri"/>
                <w:sz w:val="22"/>
                <w:szCs w:val="22"/>
                <w:lang w:val="sk-SK"/>
              </w:rPr>
              <w:t>2.</w:t>
            </w:r>
            <w:r w:rsidR="00E22824" w:rsidRPr="00E22824">
              <w:rPr>
                <w:rFonts w:ascii="Calibri" w:hAnsi="Calibri"/>
                <w:sz w:val="22"/>
                <w:szCs w:val="22"/>
                <w:lang w:val="sk-SK"/>
              </w:rPr>
              <w:t xml:space="preserve">Ktorý faktor domova považujete z hľadiska vašich výsledkov za najsilnejší </w:t>
            </w:r>
            <w:r w:rsidR="00E22824" w:rsidRPr="00E22824">
              <w:rPr>
                <w:rFonts w:ascii="Calibri" w:hAnsi="Calibri"/>
                <w:smallCaps/>
                <w:sz w:val="22"/>
                <w:szCs w:val="22"/>
                <w:lang w:val="sk-SK"/>
              </w:rPr>
              <w:t xml:space="preserve"> </w:t>
            </w:r>
            <w:r w:rsidR="00E22824" w:rsidRPr="00E22824">
              <w:rPr>
                <w:rFonts w:ascii="Calibri" w:hAnsi="Calibri"/>
                <w:sz w:val="22"/>
                <w:szCs w:val="22"/>
                <w:lang w:val="sk-SK"/>
              </w:rPr>
              <w:t>pre rozvoj slovnej zásob</w:t>
            </w:r>
            <w:r w:rsidR="00E22824">
              <w:rPr>
                <w:rFonts w:ascii="Calibri" w:hAnsi="Calibri"/>
                <w:sz w:val="22"/>
                <w:szCs w:val="22"/>
                <w:lang w:val="sk-SK"/>
              </w:rPr>
              <w:t>y</w:t>
            </w:r>
            <w:r w:rsidR="00E22824" w:rsidRPr="00E22824">
              <w:rPr>
                <w:rFonts w:ascii="Calibri" w:hAnsi="Calibri"/>
                <w:smallCaps/>
                <w:sz w:val="22"/>
                <w:szCs w:val="22"/>
                <w:lang w:val="sk-SK"/>
              </w:rPr>
              <w:t>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E2282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2824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0B7437"/>
    <w:rsid w:val="00143532"/>
    <w:rsid w:val="001B72BF"/>
    <w:rsid w:val="002B06AC"/>
    <w:rsid w:val="002B0BAD"/>
    <w:rsid w:val="002B4EF2"/>
    <w:rsid w:val="003141AF"/>
    <w:rsid w:val="003F2141"/>
    <w:rsid w:val="00415DB3"/>
    <w:rsid w:val="00471798"/>
    <w:rsid w:val="00535B93"/>
    <w:rsid w:val="00565ECE"/>
    <w:rsid w:val="00621A3F"/>
    <w:rsid w:val="006D1002"/>
    <w:rsid w:val="007D6923"/>
    <w:rsid w:val="00873B38"/>
    <w:rsid w:val="009017E0"/>
    <w:rsid w:val="00910789"/>
    <w:rsid w:val="009A1CAF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22824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3</cp:revision>
  <cp:lastPrinted>2015-05-16T08:18:00Z</cp:lastPrinted>
  <dcterms:created xsi:type="dcterms:W3CDTF">2016-05-11T11:55:00Z</dcterms:created>
  <dcterms:modified xsi:type="dcterms:W3CDTF">2016-05-11T12:08:00Z</dcterms:modified>
</cp:coreProperties>
</file>