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F57DD7" w:rsidP="00261F9D">
            <w:r>
              <w:t>Kateřina Chromická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F57DD7" w:rsidP="00261F9D">
            <w:r>
              <w:t>Profesní motivace a její změny u studentů oboru 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F57DD7" w:rsidP="00261F9D">
            <w:r>
              <w:t>Mgr. Viktor Pacholík, Ph.D.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F57DD7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F57DD7" w:rsidP="00261F9D">
            <w:r>
              <w:t>prezenční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FA6E00">
        <w:tc>
          <w:tcPr>
            <w:tcW w:w="3716" w:type="pct"/>
            <w:gridSpan w:val="2"/>
          </w:tcPr>
          <w:p w:rsidR="00B6344D" w:rsidRPr="00FE1061" w:rsidRDefault="00B6344D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E67F0A" w:rsidRDefault="00002BCA" w:rsidP="00DA11E6">
            <w:pPr>
              <w:rPr>
                <w:sz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E67F0A" w:rsidP="00613A5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Předložená bakalářská práce se zaměřuje na </w:t>
            </w:r>
            <w:r w:rsidR="004A17A1">
              <w:rPr>
                <w:sz w:val="22"/>
              </w:rPr>
              <w:t>zajímavé a stále aktuální téma motivace ke studiu.</w:t>
            </w:r>
          </w:p>
          <w:p w:rsidR="00613A5D" w:rsidRDefault="00B81088" w:rsidP="00613A5D">
            <w:pPr>
              <w:jc w:val="both"/>
              <w:rPr>
                <w:sz w:val="22"/>
              </w:rPr>
            </w:pPr>
            <w:r>
              <w:rPr>
                <w:sz w:val="22"/>
              </w:rPr>
              <w:t>V teoretické části se autorka dotýká všech stěžejních témat, bohužel však klíčové pojmy objasňuje a vymezuje pouze v obecné rovině. Ocenil bych užší propojení a specifičtější zaměření vycházející z tématu práce. Objevují se také mnohé faktické nedostatky. Klasická typologie osobnosti (cholerik, sangvinik atd.) je</w:t>
            </w:r>
            <w:r w:rsidR="007E119F">
              <w:rPr>
                <w:sz w:val="22"/>
              </w:rPr>
              <w:t xml:space="preserve"> přisuzována I. Kantovi namísto Hippokrata, v přístupu Eysencka je zmíněn pouze faktor neuroticismu, opomenut je faktor extroverze. Kapitola </w:t>
            </w:r>
            <w:r w:rsidR="007E119F">
              <w:rPr>
                <w:i/>
                <w:sz w:val="22"/>
              </w:rPr>
              <w:t>4. Výzkumy uskutečněné v této oblasti</w:t>
            </w:r>
            <w:r w:rsidR="007E119F">
              <w:rPr>
                <w:sz w:val="22"/>
              </w:rPr>
              <w:t xml:space="preserve"> podává sice přehled souvisejících výzkumů, avšak ve většině případů zcela chybí uvedení stěžejních zjištění vyplývajících z těchto šetření.</w:t>
            </w:r>
            <w:r w:rsidR="00613A5D">
              <w:rPr>
                <w:sz w:val="22"/>
              </w:rPr>
              <w:t xml:space="preserve"> Slabiny jsou také v práci s literaturou; zdá se, že autorka pro jednotlivé kapitoly zvolila stěžejního autora a především z jeho prací pak v dané kapitole vycházela. To považuji za velmi omezující především v bohaté a názorově velmi rozrůzněné problematice motivace.</w:t>
            </w:r>
          </w:p>
          <w:p w:rsidR="00613A5D" w:rsidRDefault="00613A5D" w:rsidP="00613A5D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V praktické části autorka seznamuje čtenáře s průběhem a výsledky dotazníkového šetření zaměřeného na zjišťování motivačních faktorů ve vztahu k volbě studia </w:t>
            </w:r>
            <w:r>
              <w:rPr>
                <w:i/>
                <w:sz w:val="22"/>
              </w:rPr>
              <w:t>Učitelství pro mateřské školy</w:t>
            </w:r>
            <w:r>
              <w:rPr>
                <w:sz w:val="22"/>
              </w:rPr>
              <w:t xml:space="preserve"> na UTB ve Zlíně. </w:t>
            </w:r>
            <w:r w:rsidR="00F77600">
              <w:rPr>
                <w:sz w:val="22"/>
              </w:rPr>
              <w:t xml:space="preserve">Z textu ani z položek autorského dotazníku, který autorka pro potřeby této studie sestavila, není zcela zřejmé, zda šlo o zjišťování motivace ke studiu </w:t>
            </w:r>
            <w:r w:rsidR="00F77600">
              <w:rPr>
                <w:i/>
                <w:sz w:val="22"/>
              </w:rPr>
              <w:t>oboru</w:t>
            </w:r>
            <w:r w:rsidR="00F77600">
              <w:rPr>
                <w:sz w:val="22"/>
              </w:rPr>
              <w:t xml:space="preserve">, nebo ke studiu </w:t>
            </w:r>
            <w:r w:rsidR="00F77600">
              <w:rPr>
                <w:i/>
                <w:sz w:val="22"/>
              </w:rPr>
              <w:t>na UTB ve Zlíně</w:t>
            </w:r>
            <w:r w:rsidR="00F77600">
              <w:rPr>
                <w:sz w:val="22"/>
              </w:rPr>
              <w:t xml:space="preserve">, tedy zda se jednalo o profesní motivaci, nebo o motivaci pro výběr konkrétní vysoké školy. Některé položky dotazníku kombinují oba pohledy, což nepovažuji za šťastné (např. ot. </w:t>
            </w:r>
            <w:r w:rsidR="004A17A1">
              <w:rPr>
                <w:sz w:val="22"/>
              </w:rPr>
              <w:t>10). Velmi stručně až nedostatečně je popsán výzkumný soubor. Není např. známo zastoupení jednotlivých ročníků, což lze vyčíst a ve výsledkové části práce.</w:t>
            </w:r>
            <w:r w:rsidR="00F77600">
              <w:rPr>
                <w:sz w:val="22"/>
              </w:rPr>
              <w:t xml:space="preserve"> </w:t>
            </w:r>
          </w:p>
          <w:p w:rsidR="004A17A1" w:rsidRDefault="004A17A1" w:rsidP="00613A5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Je škoda, že autorka při zpracování </w:t>
            </w:r>
            <w:r>
              <w:rPr>
                <w:sz w:val="22"/>
              </w:rPr>
              <w:t xml:space="preserve">závěrečné práce </w:t>
            </w:r>
            <w:r>
              <w:rPr>
                <w:sz w:val="22"/>
              </w:rPr>
              <w:t xml:space="preserve">bojovala s časem, což jí nedovolilo hlouběji se ponořit do </w:t>
            </w:r>
            <w:r>
              <w:rPr>
                <w:sz w:val="22"/>
              </w:rPr>
              <w:t xml:space="preserve">této bohaté problematiky a hledat hlubší vztahy v získaných datech. Problematika by si jistě zasloužila </w:t>
            </w:r>
            <w:r w:rsidR="00215C6F">
              <w:rPr>
                <w:sz w:val="22"/>
              </w:rPr>
              <w:t>důkladnější analýzu dat, což lze vnímat jako doporučení pro další práci v této oblasti.</w:t>
            </w:r>
          </w:p>
          <w:p w:rsidR="00215C6F" w:rsidRDefault="00215C6F" w:rsidP="00613A5D">
            <w:pPr>
              <w:jc w:val="both"/>
              <w:rPr>
                <w:sz w:val="22"/>
              </w:rPr>
            </w:pPr>
          </w:p>
          <w:p w:rsidR="00215C6F" w:rsidRPr="00F77600" w:rsidRDefault="00215C6F" w:rsidP="00613A5D">
            <w:pPr>
              <w:jc w:val="both"/>
              <w:rPr>
                <w:sz w:val="22"/>
              </w:rPr>
            </w:pPr>
            <w:r>
              <w:rPr>
                <w:sz w:val="22"/>
              </w:rPr>
              <w:t>Předložená závěrečná práce splňuje požadavky kladené na tento typ práce, proto ji doporučuji k obhajobě.</w:t>
            </w:r>
          </w:p>
          <w:p w:rsidR="00B81088" w:rsidRPr="00E67F0A" w:rsidRDefault="00B81088" w:rsidP="00613A5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B6344D" w:rsidRPr="00A76771" w:rsidRDefault="00B6344D" w:rsidP="00DA11E6">
            <w:pPr>
              <w:rPr>
                <w:b/>
              </w:rPr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215C6F" w:rsidRDefault="00215C6F" w:rsidP="00215C6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straně 20 zmiňujete stručně vztah výkonové motivace a výkonu (výsledku). Pokuste se prosím podrobněji objasnit vliv míry motivace na kvalitu výkonu.</w:t>
            </w:r>
          </w:p>
          <w:p w:rsidR="00002BCA" w:rsidRDefault="003D63BD" w:rsidP="003D63B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jakých předpokladů jste vycházela při formulace hypotézy 3?</w:t>
            </w:r>
          </w:p>
          <w:p w:rsidR="003D63BD" w:rsidRPr="00215C6F" w:rsidRDefault="003D63BD" w:rsidP="003D63BD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3D63BD" w:rsidRPr="003D63BD" w:rsidRDefault="00002BCA" w:rsidP="00261F9D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Datum:</w:t>
            </w:r>
            <w:r w:rsidR="003D63BD">
              <w:rPr>
                <w:sz w:val="22"/>
                <w:szCs w:val="22"/>
              </w:rPr>
              <w:t xml:space="preserve"> 25. května 2016</w:t>
            </w:r>
            <w:bookmarkStart w:id="0" w:name="_GoBack"/>
            <w:bookmarkEnd w:id="0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4AD" w:rsidRDefault="002804AD" w:rsidP="00002BCA">
      <w:r>
        <w:separator/>
      </w:r>
    </w:p>
  </w:endnote>
  <w:endnote w:type="continuationSeparator" w:id="0">
    <w:p w:rsidR="002804AD" w:rsidRDefault="002804AD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4AD" w:rsidRDefault="002804AD" w:rsidP="00002BCA">
      <w:r>
        <w:separator/>
      </w:r>
    </w:p>
  </w:footnote>
  <w:footnote w:type="continuationSeparator" w:id="0">
    <w:p w:rsidR="002804AD" w:rsidRDefault="002804AD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2283D"/>
    <w:multiLevelType w:val="hybridMultilevel"/>
    <w:tmpl w:val="EC8AE9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80"/>
    <w:rsid w:val="00002BCA"/>
    <w:rsid w:val="00041F83"/>
    <w:rsid w:val="00076EF2"/>
    <w:rsid w:val="00143532"/>
    <w:rsid w:val="001B72BF"/>
    <w:rsid w:val="00215C6F"/>
    <w:rsid w:val="002804AD"/>
    <w:rsid w:val="0029265F"/>
    <w:rsid w:val="002B06AC"/>
    <w:rsid w:val="002B0BAD"/>
    <w:rsid w:val="002B4EF2"/>
    <w:rsid w:val="003A1E80"/>
    <w:rsid w:val="003D63BD"/>
    <w:rsid w:val="003F2141"/>
    <w:rsid w:val="00471798"/>
    <w:rsid w:val="004931C3"/>
    <w:rsid w:val="004A17A1"/>
    <w:rsid w:val="00535B93"/>
    <w:rsid w:val="00565ECE"/>
    <w:rsid w:val="00613A5D"/>
    <w:rsid w:val="007D6923"/>
    <w:rsid w:val="007E119F"/>
    <w:rsid w:val="00860B3D"/>
    <w:rsid w:val="00873B38"/>
    <w:rsid w:val="009017E0"/>
    <w:rsid w:val="00910789"/>
    <w:rsid w:val="00A322F3"/>
    <w:rsid w:val="00A76771"/>
    <w:rsid w:val="00B44F2E"/>
    <w:rsid w:val="00B6344D"/>
    <w:rsid w:val="00B81088"/>
    <w:rsid w:val="00B94260"/>
    <w:rsid w:val="00BA07DB"/>
    <w:rsid w:val="00C475E3"/>
    <w:rsid w:val="00C90F34"/>
    <w:rsid w:val="00D42EA3"/>
    <w:rsid w:val="00DA11E6"/>
    <w:rsid w:val="00E05B1A"/>
    <w:rsid w:val="00E2260F"/>
    <w:rsid w:val="00E67F0A"/>
    <w:rsid w:val="00EF009A"/>
    <w:rsid w:val="00F57DD7"/>
    <w:rsid w:val="00F77600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7A8AF-B76A-437E-86D2-0BC01D29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15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cholik\Documents\&#352;kola\V&#253;uka\Bakal&#225;&#345;ky,%20diplomky\Dokumenty\Posudky\&#218;&#352;P-vedouc&#237;-UM&#352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5108DF4B-F01D-4E8D-A082-DB890011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ÚŠP-vedoucí-UMŠ</Template>
  <TotalTime>26</TotalTime>
  <Pages>2</Pages>
  <Words>635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Pacholík</dc:creator>
  <cp:lastModifiedBy>Viktor Pacholík</cp:lastModifiedBy>
  <cp:revision>2</cp:revision>
  <cp:lastPrinted>2015-05-16T08:18:00Z</cp:lastPrinted>
  <dcterms:created xsi:type="dcterms:W3CDTF">2016-05-25T20:54:00Z</dcterms:created>
  <dcterms:modified xsi:type="dcterms:W3CDTF">2016-05-25T21:20:00Z</dcterms:modified>
</cp:coreProperties>
</file>