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31F6C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571DF">
        <w:rPr>
          <w:b/>
          <w:i/>
          <w:sz w:val="22"/>
          <w:szCs w:val="22"/>
        </w:rPr>
        <w:t xml:space="preserve">Dominika </w:t>
      </w:r>
      <w:proofErr w:type="spellStart"/>
      <w:r w:rsidR="00D571DF">
        <w:rPr>
          <w:b/>
          <w:i/>
          <w:sz w:val="22"/>
          <w:szCs w:val="22"/>
        </w:rPr>
        <w:t>Soboňová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31F6C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571DF">
        <w:rPr>
          <w:b/>
          <w:i/>
          <w:sz w:val="22"/>
          <w:szCs w:val="22"/>
        </w:rPr>
        <w:t xml:space="preserve">Mgr. Eva Kolářová, </w:t>
      </w:r>
      <w:proofErr w:type="spellStart"/>
      <w:r w:rsidR="00D571DF">
        <w:rPr>
          <w:b/>
          <w:i/>
          <w:sz w:val="22"/>
          <w:szCs w:val="22"/>
        </w:rPr>
        <w:t>Ph.D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571DF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571DF">
        <w:rPr>
          <w:b/>
          <w:i/>
          <w:sz w:val="22"/>
          <w:szCs w:val="22"/>
        </w:rPr>
        <w:t>Porovnání daně z příjmů právnických osob v České republice a na Slovensku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b/>
                <w:snapToGrid w:val="0"/>
                <w:color w:val="000000"/>
              </w:rPr>
            </w:r>
            <w:r w:rsidR="00131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081F">
              <w:rPr>
                <w:snapToGrid w:val="0"/>
                <w:color w:val="000000"/>
              </w:rPr>
            </w:r>
            <w:r w:rsidR="00131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6081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6081F">
              <w:rPr>
                <w:b/>
                <w:snapToGrid w:val="0"/>
                <w:color w:val="000000"/>
              </w:rPr>
              <w:t>20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571DF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571DF">
        <w:rPr>
          <w:i/>
          <w:noProof/>
        </w:rPr>
        <w:t>Práce se zabývá srovnáním dvou daňových systémů z hlediska daně z příjmů právnických osob konkrétní firmy. Teoretická část obsahuje základní pojmy z obou daňových systémů a tvoří základ pro praktickou část.  V praktické části je použit přepočítací kurz na srovnání a toto srovnání je provedeno v nejdůležitějších položkách. Práce má logickou strukturu a je na úrovni bakalářské práce</w:t>
      </w:r>
    </w:p>
    <w:p w:rsidR="00D571DF" w:rsidRDefault="00D571DF" w:rsidP="003E1491">
      <w:pPr>
        <w:rPr>
          <w:i/>
          <w:noProof/>
        </w:rPr>
      </w:pPr>
    </w:p>
    <w:p w:rsidR="00D571DF" w:rsidRDefault="00D571DF" w:rsidP="003E1491">
      <w:pPr>
        <w:rPr>
          <w:i/>
          <w:noProof/>
        </w:rPr>
      </w:pPr>
      <w:r>
        <w:rPr>
          <w:i/>
          <w:noProof/>
        </w:rPr>
        <w:t>Otázka vedoucího</w:t>
      </w:r>
    </w:p>
    <w:p w:rsidR="00DC219A" w:rsidRPr="00AE58C9" w:rsidRDefault="00D571DF" w:rsidP="003E1491">
      <w:pPr>
        <w:rPr>
          <w:i/>
        </w:rPr>
      </w:pPr>
      <w:r>
        <w:rPr>
          <w:i/>
          <w:noProof/>
        </w:rPr>
        <w:t>Rozdíl v daňovém zatížení firmy v Čechách a na Slovensku není tak markantní</w:t>
      </w:r>
      <w:r w:rsidR="0036081F">
        <w:rPr>
          <w:i/>
          <w:noProof/>
        </w:rPr>
        <w:t>, můžete uvést výhody podnikání na Slovensku</w:t>
      </w:r>
      <w:r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6081F" w:rsidRPr="00AE58C9">
        <w:rPr>
          <w:i/>
        </w:rPr>
      </w:r>
      <w:r w:rsidR="00131F6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6081F">
        <w:rPr>
          <w:i/>
        </w:rPr>
      </w:r>
      <w:r w:rsidR="00131F6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6081F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31F6C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F6C" w:rsidRDefault="00131F6C">
      <w:r>
        <w:separator/>
      </w:r>
    </w:p>
  </w:endnote>
  <w:endnote w:type="continuationSeparator" w:id="0">
    <w:p w:rsidR="00131F6C" w:rsidRDefault="00131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F6C" w:rsidRDefault="00131F6C">
      <w:r>
        <w:separator/>
      </w:r>
    </w:p>
  </w:footnote>
  <w:footnote w:type="continuationSeparator" w:id="0">
    <w:p w:rsidR="00131F6C" w:rsidRDefault="00131F6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1F6C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6081F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71DF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6641841-79AC-48D1-A80B-27C6F38A2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2015-05-22T10:48:00Z</dcterms:created>
  <dcterms:modified xsi:type="dcterms:W3CDTF">2015-05-22T10:48:00Z</dcterms:modified>
</cp:coreProperties>
</file>