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25D7B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9312F7">
        <w:rPr>
          <w:b/>
          <w:i/>
          <w:sz w:val="22"/>
          <w:szCs w:val="22"/>
        </w:rPr>
        <w:t>Bc. Adina Dvořáková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25D7B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9312F7">
        <w:rPr>
          <w:b/>
          <w:i/>
          <w:sz w:val="22"/>
          <w:szCs w:val="22"/>
        </w:rPr>
        <w:t>doc. RNDr. Oldřich Hájek,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9312F7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9312F7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9312F7" w:rsidRPr="009312F7">
        <w:rPr>
          <w:b/>
          <w:i/>
          <w:sz w:val="22"/>
          <w:szCs w:val="22"/>
        </w:rPr>
        <w:t>Návrh strategie pro efektivnější čerpání prostředků z</w:t>
      </w:r>
      <w:r w:rsidR="009312F7">
        <w:rPr>
          <w:b/>
          <w:i/>
          <w:sz w:val="22"/>
          <w:szCs w:val="22"/>
        </w:rPr>
        <w:t> </w:t>
      </w:r>
      <w:r w:rsidR="009312F7" w:rsidRPr="009312F7">
        <w:rPr>
          <w:b/>
          <w:i/>
          <w:sz w:val="22"/>
          <w:szCs w:val="22"/>
        </w:rPr>
        <w:t>fondů</w:t>
      </w:r>
      <w:r w:rsidR="009312F7">
        <w:rPr>
          <w:b/>
          <w:i/>
          <w:sz w:val="22"/>
          <w:szCs w:val="22"/>
        </w:rPr>
        <w:t xml:space="preserve"> </w:t>
      </w:r>
      <w:r w:rsidR="009312F7" w:rsidRPr="009312F7">
        <w:rPr>
          <w:b/>
          <w:i/>
          <w:sz w:val="22"/>
          <w:szCs w:val="22"/>
        </w:rPr>
        <w:t>EU na území regionu Střední Morava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b/>
                <w:snapToGrid w:val="0"/>
                <w:color w:val="000000"/>
              </w:rPr>
            </w:r>
            <w:r w:rsidR="00C25D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b/>
                <w:snapToGrid w:val="0"/>
                <w:color w:val="000000"/>
              </w:rPr>
            </w:r>
            <w:r w:rsidR="00C25D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b/>
                <w:snapToGrid w:val="0"/>
                <w:color w:val="000000"/>
              </w:rPr>
            </w:r>
            <w:r w:rsidR="00C25D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b/>
                <w:snapToGrid w:val="0"/>
                <w:color w:val="000000"/>
              </w:rPr>
            </w:r>
            <w:r w:rsidR="00C25D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b/>
                <w:snapToGrid w:val="0"/>
                <w:color w:val="000000"/>
              </w:rPr>
            </w:r>
            <w:r w:rsidR="00C25D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b/>
                <w:snapToGrid w:val="0"/>
                <w:color w:val="000000"/>
              </w:rPr>
            </w:r>
            <w:r w:rsidR="00C25D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5D7B">
              <w:rPr>
                <w:snapToGrid w:val="0"/>
                <w:color w:val="000000"/>
              </w:rPr>
            </w:r>
            <w:r w:rsidR="00C25D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9312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312F7">
              <w:rPr>
                <w:b/>
                <w:noProof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086AF8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86AF8">
        <w:rPr>
          <w:i/>
        </w:rPr>
        <w:t>Regionální operační program regionu soudržnosti NUTS 2 Střední Morava představoval v programovacím období 2007 - 2013 klíčový nástroj na podporu regionálního rozvoje definovaného území. Je vhodné zkoumat dopady, efekty a zejména efektivitu tohoto finančního nástroje, pro zlepšení hospodaření s evropskými prostředky pro příští období. Takto koncipovaná práce je tedy velmi vhodná z hlediska studovaného oboru.</w:t>
      </w:r>
    </w:p>
    <w:p w:rsidR="005D3C21" w:rsidRDefault="00086AF8" w:rsidP="00750650">
      <w:pPr>
        <w:rPr>
          <w:i/>
        </w:rPr>
      </w:pPr>
      <w:r>
        <w:rPr>
          <w:i/>
        </w:rPr>
        <w:t xml:space="preserve">Struktura práce splňuje všechny formální standardy, </w:t>
      </w:r>
      <w:r w:rsidR="005D3C21">
        <w:rPr>
          <w:i/>
        </w:rPr>
        <w:t>kdy v první části práce autorka představuje základní cíle práce a metody jejich dosažení. Dále následuje teoretická část, kde jsou uvedeny definice a výklady pojmů v práci použité, včetně diskuse s literaturou. Praktická část je věnována vlastní evaluaci předmětného finančního nástroje, tedy Regionálního operačního programu regionu soudržnosti NUTS 2 Střední Morava a následně formulaci strategie pro efektivnější čerpání z fondů EU na předmětném území pro období 2014 - 2020.</w:t>
      </w:r>
    </w:p>
    <w:p w:rsidR="00845B98" w:rsidRPr="00AE58C9" w:rsidRDefault="005D3C21" w:rsidP="00750650">
      <w:pPr>
        <w:rPr>
          <w:i/>
        </w:rPr>
      </w:pPr>
      <w:r>
        <w:rPr>
          <w:i/>
        </w:rPr>
        <w:t>Které nástroje Kohezní politiky EU pro období 2014 - 2020 budou primárně intervenovat v rámci územní dimenze na prostoru regionu soudržnosti NUTS 2 Střední Morava 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25D7B">
        <w:rPr>
          <w:i/>
        </w:rPr>
      </w:r>
      <w:r w:rsidR="00C25D7B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25D7B">
        <w:rPr>
          <w:i/>
        </w:rPr>
      </w:r>
      <w:r w:rsidR="00C25D7B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9312F7">
        <w:rPr>
          <w:i/>
          <w:noProof/>
        </w:rPr>
        <w:t>3.5.2015</w:t>
      </w:r>
      <w:proofErr w:type="gramEnd"/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25D7B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5D7B" w:rsidRDefault="00C25D7B">
      <w:r>
        <w:separator/>
      </w:r>
    </w:p>
  </w:endnote>
  <w:endnote w:type="continuationSeparator" w:id="0">
    <w:p w:rsidR="00C25D7B" w:rsidRDefault="00C25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5D7B" w:rsidRDefault="00C25D7B">
      <w:r>
        <w:separator/>
      </w:r>
    </w:p>
  </w:footnote>
  <w:footnote w:type="continuationSeparator" w:id="0">
    <w:p w:rsidR="00C25D7B" w:rsidRDefault="00C25D7B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86AF8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929F4"/>
    <w:rsid w:val="005A16E2"/>
    <w:rsid w:val="005A3124"/>
    <w:rsid w:val="005B2F76"/>
    <w:rsid w:val="005C64F3"/>
    <w:rsid w:val="005D3C21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056AB"/>
    <w:rsid w:val="009312F7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25D7B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056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056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056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056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D349E89-D307-49F5-997C-3798C5EE5E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637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2015-05-06T08:33:00Z</cp:lastPrinted>
  <dcterms:created xsi:type="dcterms:W3CDTF">2015-05-06T08:33:00Z</dcterms:created>
  <dcterms:modified xsi:type="dcterms:W3CDTF">2015-05-06T08:33:00Z</dcterms:modified>
</cp:coreProperties>
</file>