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405"/>
        <w:gridCol w:w="608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042A4" w:rsidRDefault="003042A4" w:rsidP="003042A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6"/>
            </w:tblGrid>
            <w:tr w:rsidR="003042A4">
              <w:trPr>
                <w:trHeight w:val="187"/>
              </w:trPr>
              <w:tc>
                <w:tcPr>
                  <w:tcW w:w="0" w:type="auto"/>
                </w:tcPr>
                <w:p w:rsidR="003042A4" w:rsidRPr="003042A4" w:rsidRDefault="003042A4" w:rsidP="003042A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2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Bc. Adéla </w:t>
                  </w:r>
                  <w:proofErr w:type="spellStart"/>
                  <w:r w:rsidRPr="003042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Mořická</w:t>
                  </w:r>
                  <w:proofErr w:type="spellEnd"/>
                  <w:r w:rsidRPr="003042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4C7B" w:rsidP="00362AB0">
            <w:pPr>
              <w:rPr>
                <w:sz w:val="22"/>
                <w:szCs w:val="22"/>
              </w:rPr>
            </w:pPr>
            <w:r w:rsidRPr="004E4C7B">
              <w:rPr>
                <w:b/>
                <w:bCs/>
                <w:sz w:val="22"/>
                <w:szCs w:val="22"/>
              </w:rPr>
              <w:t>Vzdělávací potřeby pracovníků kontaktních center Olomouckého a Zlínského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E4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C77E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PhDr. Viera Prusáková,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4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4E4C7B" w:rsidRPr="00C50B27" w:rsidRDefault="004E4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77E52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77E52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77E52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77E52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77E52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77E52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4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77E52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4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77E52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4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60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77E52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4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77E52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4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77E52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405" w:type="dxa"/>
            <w:vAlign w:val="center"/>
          </w:tcPr>
          <w:p w:rsidR="00B411DB" w:rsidRPr="00C50B27" w:rsidRDefault="00B411DB" w:rsidP="00C77E52">
            <w:pPr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77E52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405" w:type="dxa"/>
            <w:vAlign w:val="center"/>
          </w:tcPr>
          <w:p w:rsidR="00B411DB" w:rsidRPr="00C50B27" w:rsidRDefault="00B411DB" w:rsidP="00C77E52">
            <w:pPr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Pr="00EA7DF1" w:rsidRDefault="00EA7DF1" w:rsidP="00362AB0">
            <w:r w:rsidRPr="00EA7DF1">
              <w:t xml:space="preserve">Struktura práce je po obsahové stránce zvolena vcelku dobře, ale je proporcionálně nevyvážena. Zejména je na škodu věci, že kapitola věnovaná těžiskové problematice - analýze vzdělávacích potřeb má jenom 4 strany, i když teoretická část má celkově 32 stran. Malá pozornost, kterou autorka </w:t>
            </w:r>
            <w:proofErr w:type="gramStart"/>
            <w:r w:rsidRPr="00EA7DF1">
              <w:t>věnuje</w:t>
            </w:r>
            <w:proofErr w:type="gramEnd"/>
            <w:r w:rsidRPr="00EA7DF1">
              <w:t xml:space="preserve"> této problematice se </w:t>
            </w:r>
            <w:proofErr w:type="gramStart"/>
            <w:r w:rsidRPr="00EA7DF1">
              <w:t>odrazila</w:t>
            </w:r>
            <w:proofErr w:type="gramEnd"/>
            <w:r w:rsidRPr="00EA7DF1">
              <w:t xml:space="preserve"> následně ve formulací cíle praktické části. Vzdělávací potřeby se nedají identifikovat jen "pohledem" pracovníků, je potřeba analýzy organizace, pracovního místa a popřípadě jejich pracovního výkonu. V tomto případě jde jenom o zhodnocení názoru pracovníku na potřebu vzdělávání a ne o jejich identifikaci. Navíc je nejasné ve formulací výzkumného problému co znamená "zjistit více". Ve vztahu k jakým zjištěním?</w:t>
            </w:r>
            <w:r w:rsidRPr="00EA7DF1">
              <w:br/>
              <w:t>Praktické části autorka věnovala přiměřenou pozornost, osobně metodice kvalitativního výzkumu na základě literatury, kterou se pak snažila aplikovat ve své výzkumní praxi. Výsledky zpracovala pečlivě, avšak závěrům a odporučením mohla věnovat větší pozornost. Vyznívají spíše jako souhrn zjištění, a ne jejich kvalitativní zpracování.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A7DF1" w:rsidP="00B62C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rozdíl mezi analýzou vzdělávacích potřeb a analýzou názorů pracovníků na jejich vzdělávací potřeby?</w:t>
            </w:r>
          </w:p>
          <w:p w:rsidR="00B411DB" w:rsidRPr="00B62C0A" w:rsidRDefault="00B62C0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pracovní činnosti pracovníků kontaktních center považujete za těžiskové?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77E52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4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4E4C7B" w:rsidRDefault="004E4C7B" w:rsidP="004E4C7B">
      <w:pPr>
        <w:pStyle w:val="Default"/>
      </w:pPr>
    </w:p>
    <w:sectPr w:rsidR="004E4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2D" w:rsidRDefault="00731E2D">
      <w:r>
        <w:separator/>
      </w:r>
    </w:p>
  </w:endnote>
  <w:endnote w:type="continuationSeparator" w:id="0">
    <w:p w:rsidR="00731E2D" w:rsidRDefault="007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2D" w:rsidRDefault="00731E2D">
      <w:r>
        <w:separator/>
      </w:r>
    </w:p>
  </w:footnote>
  <w:footnote w:type="continuationSeparator" w:id="0">
    <w:p w:rsidR="00731E2D" w:rsidRDefault="00731E2D">
      <w:r>
        <w:continuationSeparator/>
      </w:r>
    </w:p>
  </w:footnote>
  <w:footnote w:id="1">
    <w:p w:rsidR="00EA7DF1" w:rsidRDefault="00EA7DF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08D3"/>
    <w:multiLevelType w:val="hybridMultilevel"/>
    <w:tmpl w:val="15827EBE"/>
    <w:lvl w:ilvl="0" w:tplc="3AEE4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24"/>
    <w:rsid w:val="001A679F"/>
    <w:rsid w:val="002F4F4B"/>
    <w:rsid w:val="003042A4"/>
    <w:rsid w:val="00362AB0"/>
    <w:rsid w:val="003F5DA2"/>
    <w:rsid w:val="004E4C7B"/>
    <w:rsid w:val="00512982"/>
    <w:rsid w:val="00526D47"/>
    <w:rsid w:val="0055255D"/>
    <w:rsid w:val="005C219A"/>
    <w:rsid w:val="006847E2"/>
    <w:rsid w:val="00731E2D"/>
    <w:rsid w:val="008614B3"/>
    <w:rsid w:val="009B2248"/>
    <w:rsid w:val="00A42224"/>
    <w:rsid w:val="00AF1740"/>
    <w:rsid w:val="00B411DB"/>
    <w:rsid w:val="00B62C0A"/>
    <w:rsid w:val="00BA3203"/>
    <w:rsid w:val="00C50B27"/>
    <w:rsid w:val="00C77E52"/>
    <w:rsid w:val="00CE0A8B"/>
    <w:rsid w:val="00CE1D3E"/>
    <w:rsid w:val="00DC1BF5"/>
    <w:rsid w:val="00E451AB"/>
    <w:rsid w:val="00E67C85"/>
    <w:rsid w:val="00E709EA"/>
    <w:rsid w:val="00EA7DF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304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304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28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231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7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&#237;n%20nova\ZL&#237;n%20nova\diplomov&#233;%20pr&#225;ce\posudky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PDF-l</dc:creator>
  <cp:lastModifiedBy>Cejnarová Petra</cp:lastModifiedBy>
  <cp:revision>2</cp:revision>
  <cp:lastPrinted>2012-04-25T08:21:00Z</cp:lastPrinted>
  <dcterms:created xsi:type="dcterms:W3CDTF">2015-05-11T05:57:00Z</dcterms:created>
  <dcterms:modified xsi:type="dcterms:W3CDTF">2015-05-11T05:57:00Z</dcterms:modified>
</cp:coreProperties>
</file>