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CFF" w:rsidRPr="00C75EAD" w:rsidRDefault="00843CFF" w:rsidP="00843CFF">
      <w:pPr>
        <w:rPr>
          <w:b/>
        </w:rPr>
      </w:pP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43CFF" w:rsidRPr="00C50B27" w:rsidTr="00554CC4">
        <w:tc>
          <w:tcPr>
            <w:tcW w:w="9828" w:type="dxa"/>
            <w:gridSpan w:val="9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43CFF" w:rsidRPr="00C50B27" w:rsidTr="00554CC4">
        <w:tc>
          <w:tcPr>
            <w:tcW w:w="2808" w:type="dxa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43CFF" w:rsidRPr="00DE0040" w:rsidRDefault="00DE0040" w:rsidP="00554CC4">
            <w:pPr>
              <w:rPr>
                <w:sz w:val="22"/>
                <w:szCs w:val="22"/>
              </w:rPr>
            </w:pPr>
            <w:r w:rsidRPr="00DE0040">
              <w:rPr>
                <w:b/>
                <w:sz w:val="22"/>
                <w:szCs w:val="22"/>
              </w:rPr>
              <w:t>Jana Úlehlová</w:t>
            </w:r>
          </w:p>
        </w:tc>
      </w:tr>
      <w:tr w:rsidR="00843CFF" w:rsidRPr="00C50B27" w:rsidTr="00554CC4">
        <w:tc>
          <w:tcPr>
            <w:tcW w:w="2808" w:type="dxa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43CFF" w:rsidRPr="00DE0040" w:rsidRDefault="00DE0040" w:rsidP="00554CC4">
            <w:pPr>
              <w:rPr>
                <w:sz w:val="22"/>
                <w:szCs w:val="22"/>
              </w:rPr>
            </w:pPr>
            <w:r w:rsidRPr="00DE0040">
              <w:rPr>
                <w:b/>
                <w:sz w:val="22"/>
                <w:szCs w:val="22"/>
              </w:rPr>
              <w:t>Finanční gramotnost u žáků ZŠ</w:t>
            </w:r>
          </w:p>
        </w:tc>
      </w:tr>
      <w:tr w:rsidR="00843CFF" w:rsidRPr="00C50B27" w:rsidTr="00554CC4">
        <w:tc>
          <w:tcPr>
            <w:tcW w:w="2808" w:type="dxa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43CFF" w:rsidRPr="00DE0040" w:rsidRDefault="00DE0040" w:rsidP="00554CC4">
            <w:pPr>
              <w:rPr>
                <w:b/>
                <w:sz w:val="22"/>
                <w:szCs w:val="22"/>
              </w:rPr>
            </w:pPr>
            <w:r w:rsidRPr="00DE0040">
              <w:rPr>
                <w:b/>
                <w:sz w:val="22"/>
                <w:szCs w:val="22"/>
              </w:rPr>
              <w:t>PhDr. Yvonna Ronzová</w:t>
            </w:r>
          </w:p>
        </w:tc>
      </w:tr>
      <w:tr w:rsidR="00843CFF" w:rsidRPr="00C50B27" w:rsidTr="00554CC4">
        <w:tc>
          <w:tcPr>
            <w:tcW w:w="2808" w:type="dxa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43CFF" w:rsidRPr="00DE0040" w:rsidRDefault="00DE0040" w:rsidP="00554CC4">
            <w:pPr>
              <w:rPr>
                <w:b/>
                <w:sz w:val="22"/>
                <w:szCs w:val="22"/>
              </w:rPr>
            </w:pPr>
            <w:r w:rsidRPr="00DE0040">
              <w:rPr>
                <w:b/>
                <w:sz w:val="22"/>
                <w:szCs w:val="22"/>
              </w:rPr>
              <w:t>Sociální pedagogika</w:t>
            </w:r>
          </w:p>
        </w:tc>
      </w:tr>
      <w:tr w:rsidR="00843CFF" w:rsidRPr="00C50B27" w:rsidTr="00554CC4">
        <w:tc>
          <w:tcPr>
            <w:tcW w:w="2808" w:type="dxa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43CFF" w:rsidRPr="00245642" w:rsidRDefault="00245642" w:rsidP="00554CC4">
            <w:pPr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kombinovaná</w:t>
            </w:r>
          </w:p>
        </w:tc>
      </w:tr>
      <w:tr w:rsidR="00843CFF" w:rsidRPr="00C50B27" w:rsidTr="00554CC4">
        <w:tc>
          <w:tcPr>
            <w:tcW w:w="2808" w:type="dxa"/>
            <w:vAlign w:val="center"/>
          </w:tcPr>
          <w:p w:rsidR="00843CFF" w:rsidRPr="00C50B27" w:rsidRDefault="00843CFF" w:rsidP="00554CC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43CFF" w:rsidRPr="00C50B27" w:rsidRDefault="00843CFF" w:rsidP="00554CC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43CFF" w:rsidRPr="00C50B27" w:rsidRDefault="00843CFF" w:rsidP="00554CC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43CFF" w:rsidRPr="00C50B27" w:rsidTr="00554CC4">
        <w:tc>
          <w:tcPr>
            <w:tcW w:w="9828" w:type="dxa"/>
            <w:gridSpan w:val="9"/>
            <w:shd w:val="clear" w:color="auto" w:fill="A6A6A6"/>
          </w:tcPr>
          <w:p w:rsidR="00843CFF" w:rsidRPr="00C50B27" w:rsidRDefault="00843CFF" w:rsidP="00554CC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9828" w:type="dxa"/>
            <w:gridSpan w:val="9"/>
            <w:shd w:val="clear" w:color="auto" w:fill="A6A6A6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245642" w:rsidRDefault="00245642" w:rsidP="00554C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9828" w:type="dxa"/>
            <w:gridSpan w:val="9"/>
            <w:shd w:val="clear" w:color="auto" w:fill="A6A6A6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9828" w:type="dxa"/>
            <w:gridSpan w:val="9"/>
            <w:shd w:val="clear" w:color="auto" w:fill="A6A6A6"/>
          </w:tcPr>
          <w:p w:rsidR="00843CFF" w:rsidRPr="00B411DB" w:rsidRDefault="00843CFF" w:rsidP="00554CC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9828" w:type="dxa"/>
            <w:gridSpan w:val="9"/>
          </w:tcPr>
          <w:p w:rsidR="00843CFF" w:rsidRPr="00C50B27" w:rsidRDefault="00843CFF" w:rsidP="00554CC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43CFF" w:rsidRPr="00C50B27" w:rsidRDefault="00843CFF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 xml:space="preserve">Tématem předkládané práce je oblast finanční gramotnosti u žáků základních škol, která je důležitá z hlediska dlouhodobé péče o zvyšování finanční gramotnosti populace jako celku. Výběr zkoumané skupiny v rámci zaměření práce by se mohl v prvním přiblížení zdát nepříliš reprezentativní, kontrastní. Nicméně výsledky byly průkaznější, než by odpovídalo tomuto očekávání, potvrdily oprávněnost této volby a jsou zajímavým doplňkem ke srovnatelným výzkumům dospělé populace. Záměr a provedení předkládané práce prověřuje sice úzkou skupinu, nicméně je hodnotný právě tímto detailem a odpovídá společenskému zájmu. </w:t>
            </w:r>
          </w:p>
          <w:p w:rsidR="00843CFF" w:rsidRPr="00245642" w:rsidRDefault="00843CFF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Hlavním cílem výzkumu je provedení komparace žáků dvou rozdílných vzdělávacích zaměření a ověřit vliv specifického vzdělání na úroveň finanční gramotnosti. Teoretická část má seznámit čtenáře s problematikou finanční gramotnosti v souvislosti jak se sociální sférou, tak s celoživotním vzděláváním.</w:t>
            </w:r>
          </w:p>
          <w:p w:rsidR="00245642" w:rsidRPr="00245642" w:rsidRDefault="00245642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Práce se skládá z části teoretické a praktické. Teoretickou část tvoří pojednání o problematice finanční gramotnosti. Zvýrazněna jsou témata systému vzdělávání finanční gramotnosti a obzvlášť důležité téma z hlediska prevence negativních jevů - činitelé finančního rozhodovaní. „Povinný“ v této literatuře, a i v této práci uplatněný, je výklad souvislostí finanční gramotnosti se sociální sférou. Praktická část dotazníkovou metodou a jejím vyhodnocením ověřuje hypotézy o vlivu specifického vzdělání na úroveň finanční gramotnosti u žáků 8. a 9. tříd ZŠ. V závěru autorka porovnává svůj výzkum s obdobnými u dospělé populace.</w:t>
            </w:r>
          </w:p>
          <w:p w:rsidR="00245642" w:rsidRPr="00245642" w:rsidRDefault="00245642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Zvolený postup, řazení témat textu a použité metody považuji za adekvátní a logicky odpovídající obsahu práce. Předkládaná práce byla vytvořena s očekávanou odbornou úrovní.</w:t>
            </w:r>
          </w:p>
          <w:p w:rsidR="00245642" w:rsidRPr="00245642" w:rsidRDefault="00245642" w:rsidP="00245642">
            <w:pPr>
              <w:rPr>
                <w:b/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 xml:space="preserve">Nutno říci, že vlastní přínos autorky zde není nijak prvoplánově zřetelný, práce dokonce působí jako pouhá </w:t>
            </w:r>
            <w:r w:rsidRPr="00245642">
              <w:rPr>
                <w:sz w:val="22"/>
                <w:szCs w:val="22"/>
              </w:rPr>
              <w:lastRenderedPageBreak/>
              <w:t>(inteligentní) rešerše. Čtenář, který je ve sdělované problematice zběhlý, brzy odhadne, co se dočte dále. To svádí k podcenění hodnoty, přínosu, práce. Po přečtení však zjistí, že v této práci jsou velmi přehledně a formálně příjemně shromážděny informace o finanční gramotnosti jako oboru, resp. o jejích vybraných složkách. Práce je vhodná jako velmi kvalitní úvod do uvedené problematiky a jako vhodné východisko pro další podrobnější studium, k čemuž právě dobře slouží často použité citace a odkazy na literaturu. Výsledek chápeme jako kompaktní objektivní informaci na dané téma nerušenou subjektivními náznaky, dojmy ani jinými expresemi. Vlastní názor autorka uplatnila jednak tímto zřetelným a účelným pojetím textu, jednak na místě k tomu vhodném, při vyhodnocení praktické části a predikci výsledků.</w:t>
            </w:r>
          </w:p>
          <w:p w:rsidR="00245642" w:rsidRPr="00245642" w:rsidRDefault="00245642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554CC4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Rozsah je přiměřený jejímu obsahu a ambicím pojmout a zpracovat určité penzum informací do jisté míry detailu, která je vyrovnaná v celém rozsahu. Autorka se pohybuje přesně na půdorysu vymezeném obsahem. Za pozornost stojí jazyková úroveň: použité jazykové prostředky a styl sdělování jsou formálně jednotné v celé práci, což může být považováno za očekávané, nicméně zde je toto velmi výrazné a text podporující. Autorka nepoužívá žádné expresívní prvky za účelem ozvláštnění textu, nevybočuje z dané obsahové linie, její styl nerozptyluje, naopak podporuje pozornost a umožňuje soustředěné vnímání sdělovaných informací. Formální úroveň je na požadované úrovni a i ta slouží vlastnímu sdělení.</w:t>
            </w: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 xml:space="preserve">Práce s literaturou je zde velmi dobrá a prokazuje schopnost autorky pojmout, uchopit zdroj a vytvořit nový celek. Množstvím použitých přímých citací i odkazů na literaturu podpořila autorka čtenáře při naplnění potřeby podrobněji se zabývat některým tématem. Práce na první pohled působí více jako rešerše daného tématu, což má znevažující nádech. </w:t>
            </w: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Avšak výsledek, práce jako celek, podporuje dojem, že záměrem autorky bylo vytvořit právě takové dílo.</w:t>
            </w: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Předkládaná práce jde jen do určité hloubky, do určité míry detailu. To bychom mohli uvést jako připomínku ke zpracování a slabou stránku práce. Na druhé straně však je detailnější sdělení úskalím: jak v daném rozsahu pojmout finanční gramotnost detailně – výběrově jen u některých témat? Expresívnějším pojetím a zdůrazněním vybraných pasáží…? Vše vytváří problém v návaznostech, formě a v rozsahu. Nelze tedy nakonec než předkládané pojetí ocenit jako vyvážené s rovnoměrně rozloženou pozorností věnovanou vybraným tématům. Autorka by zřejmě byla schopna vytvořit mnohem detailnější pojednání o jednotlivých složkách finanční gramotnosti, její odbornost a schopnost pojmout a třídit informace je zřejmá a výsledky takové tvorby by rozšířily paletu příslušné literatury.</w:t>
            </w:r>
          </w:p>
          <w:p w:rsidR="00843CFF" w:rsidRDefault="00843CFF" w:rsidP="00554CC4">
            <w:pPr>
              <w:rPr>
                <w:sz w:val="22"/>
                <w:szCs w:val="22"/>
              </w:rPr>
            </w:pPr>
          </w:p>
          <w:p w:rsidR="00843CFF" w:rsidRPr="00C50B27" w:rsidRDefault="00843CFF" w:rsidP="00554CC4">
            <w:pPr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9828" w:type="dxa"/>
            <w:gridSpan w:val="9"/>
          </w:tcPr>
          <w:p w:rsidR="00843CFF" w:rsidRPr="00C50B27" w:rsidRDefault="00843CFF" w:rsidP="00554CC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843CFF" w:rsidRPr="00C50B27" w:rsidRDefault="00843CFF" w:rsidP="00554CC4">
            <w:pPr>
              <w:rPr>
                <w:sz w:val="22"/>
                <w:szCs w:val="22"/>
              </w:rPr>
            </w:pPr>
          </w:p>
          <w:p w:rsidR="00245642" w:rsidRPr="00245642" w:rsidRDefault="00245642" w:rsidP="00245642">
            <w:pPr>
              <w:rPr>
                <w:b/>
                <w:sz w:val="22"/>
                <w:szCs w:val="22"/>
              </w:rPr>
            </w:pPr>
            <w:r w:rsidRPr="00245642">
              <w:rPr>
                <w:sz w:val="22"/>
                <w:szCs w:val="22"/>
              </w:rPr>
              <w:t>Finanční gramotnost je pojímaná, a často se tak tváří, jako racionální obor. Je potom poměrně snadno uchopitelná. Avšak negativní jevy, jejichž prevence je jedním z cílů šíření finanční gramotnosti, nemají právě racionální charakter. Jinak řečeno: rozšířený názor, že příčinou například sociální vyloučenosti je (také, pro někoho především) finanční negramotnost, vytváří dojem, že jde o nedostatečnou míru racionality v chování určitých jedinců, že zvýšením finanční gramotnosti odstraníme chudobu…  Známo je mnoho případů, kdy chudí lidé neočekávaně, překotně, dokonce i vlastní prací zbohatli, nicméně téměř všichni zase stejně překotně zchudli, svého bohatství se, téměř můžeme říci, zbavili.</w:t>
            </w:r>
            <w:r w:rsidRPr="00245642">
              <w:rPr>
                <w:sz w:val="22"/>
                <w:szCs w:val="22"/>
              </w:rPr>
              <w:br/>
            </w:r>
            <w:r w:rsidRPr="00245642">
              <w:rPr>
                <w:b/>
                <w:sz w:val="22"/>
                <w:szCs w:val="22"/>
              </w:rPr>
              <w:br/>
              <w:t>1/ Jaký je podle vás vztah mezi naturelem člověka a jeho „životní rolí“ boháče, či chudáka.</w:t>
            </w:r>
            <w:r w:rsidRPr="00245642">
              <w:rPr>
                <w:b/>
                <w:sz w:val="22"/>
                <w:szCs w:val="22"/>
              </w:rPr>
              <w:br/>
              <w:t>2/ Jak se liší chování bohatých a chudých lidí?</w:t>
            </w:r>
            <w:r w:rsidRPr="00245642">
              <w:rPr>
                <w:b/>
                <w:sz w:val="22"/>
                <w:szCs w:val="22"/>
              </w:rPr>
              <w:br/>
              <w:t>3/ Je vůbec reálné povznést chudého člověka z jeho bídy?</w:t>
            </w:r>
          </w:p>
          <w:p w:rsidR="00843CFF" w:rsidRPr="00245642" w:rsidRDefault="00843CFF" w:rsidP="00554CC4">
            <w:pPr>
              <w:rPr>
                <w:sz w:val="22"/>
                <w:szCs w:val="22"/>
              </w:rPr>
            </w:pPr>
          </w:p>
          <w:p w:rsidR="00843CFF" w:rsidRPr="00C50B27" w:rsidRDefault="00843CFF" w:rsidP="00554CC4">
            <w:pPr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6791" w:type="dxa"/>
            <w:gridSpan w:val="3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43CFF" w:rsidRPr="00245642" w:rsidRDefault="00843CFF" w:rsidP="00554CC4">
            <w:pPr>
              <w:jc w:val="center"/>
              <w:rPr>
                <w:b/>
                <w:sz w:val="22"/>
                <w:szCs w:val="22"/>
              </w:rPr>
            </w:pPr>
            <w:r w:rsidRPr="0024564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843CFF" w:rsidRPr="00C50B27" w:rsidRDefault="00843CFF" w:rsidP="00554CC4">
            <w:pPr>
              <w:jc w:val="center"/>
              <w:rPr>
                <w:sz w:val="22"/>
                <w:szCs w:val="22"/>
              </w:rPr>
            </w:pPr>
          </w:p>
        </w:tc>
      </w:tr>
      <w:tr w:rsidR="00843CFF" w:rsidRPr="00C50B27" w:rsidTr="00554CC4">
        <w:tc>
          <w:tcPr>
            <w:tcW w:w="4068" w:type="dxa"/>
            <w:gridSpan w:val="2"/>
            <w:vAlign w:val="center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45642">
              <w:rPr>
                <w:sz w:val="22"/>
                <w:szCs w:val="22"/>
              </w:rPr>
              <w:t xml:space="preserve"> 18.</w:t>
            </w:r>
            <w:r w:rsidR="009E4FF4">
              <w:rPr>
                <w:sz w:val="22"/>
                <w:szCs w:val="22"/>
              </w:rPr>
              <w:t xml:space="preserve"> </w:t>
            </w:r>
            <w:r w:rsidR="00245642">
              <w:rPr>
                <w:sz w:val="22"/>
                <w:szCs w:val="22"/>
              </w:rPr>
              <w:t>12.</w:t>
            </w:r>
            <w:r w:rsidR="009E4FF4">
              <w:rPr>
                <w:sz w:val="22"/>
                <w:szCs w:val="22"/>
              </w:rPr>
              <w:t xml:space="preserve"> </w:t>
            </w:r>
            <w:r w:rsidR="00245642">
              <w:rPr>
                <w:sz w:val="22"/>
                <w:szCs w:val="22"/>
              </w:rPr>
              <w:t>2013</w:t>
            </w:r>
          </w:p>
        </w:tc>
        <w:tc>
          <w:tcPr>
            <w:tcW w:w="5760" w:type="dxa"/>
            <w:gridSpan w:val="7"/>
            <w:vAlign w:val="center"/>
          </w:tcPr>
          <w:p w:rsidR="00843CFF" w:rsidRPr="00C50B27" w:rsidRDefault="00843CFF" w:rsidP="00554C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996018" w:rsidRDefault="00996018" w:rsidP="00245642"/>
    <w:sectPr w:rsidR="00996018" w:rsidSect="00996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E26" w:rsidRDefault="00345E26" w:rsidP="00843CFF">
      <w:r>
        <w:separator/>
      </w:r>
    </w:p>
  </w:endnote>
  <w:endnote w:type="continuationSeparator" w:id="0">
    <w:p w:rsidR="00345E26" w:rsidRDefault="00345E26" w:rsidP="00843C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E26" w:rsidRDefault="00345E26" w:rsidP="00843CFF">
      <w:r>
        <w:separator/>
      </w:r>
    </w:p>
  </w:footnote>
  <w:footnote w:type="continuationSeparator" w:id="0">
    <w:p w:rsidR="00345E26" w:rsidRDefault="00345E26" w:rsidP="00843CFF">
      <w:r>
        <w:continuationSeparator/>
      </w:r>
    </w:p>
  </w:footnote>
  <w:footnote w:id="1">
    <w:p w:rsidR="00843CFF" w:rsidRDefault="00843CFF" w:rsidP="00843CFF">
      <w:pPr>
        <w:pStyle w:val="Textpoznpodarou"/>
      </w:pPr>
      <w:r>
        <w:rPr>
          <w:rStyle w:val="Znakapoznpodarou"/>
        </w:rPr>
        <w:t>*</w:t>
      </w:r>
      <w:r>
        <w:t xml:space="preserve"> Výsled</w:t>
      </w:r>
      <w:bookmarkStart w:id="0" w:name="_GoBack"/>
      <w:bookmarkEnd w:id="0"/>
      <w:r>
        <w:t>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CFF"/>
    <w:rsid w:val="00245642"/>
    <w:rsid w:val="00345E26"/>
    <w:rsid w:val="00500FB4"/>
    <w:rsid w:val="007D5552"/>
    <w:rsid w:val="00843CFF"/>
    <w:rsid w:val="00996018"/>
    <w:rsid w:val="009E4FF4"/>
    <w:rsid w:val="00A6081F"/>
    <w:rsid w:val="00DE0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3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43CFF"/>
  </w:style>
  <w:style w:type="character" w:customStyle="1" w:styleId="TextpoznpodarouChar">
    <w:name w:val="Text pozn. pod čarou Char"/>
    <w:basedOn w:val="Standardnpsmoodstavce"/>
    <w:link w:val="Textpoznpodarou"/>
    <w:semiHidden/>
    <w:rsid w:val="00843CF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43C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3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43CFF"/>
  </w:style>
  <w:style w:type="character" w:customStyle="1" w:styleId="TextpoznpodarouChar">
    <w:name w:val="Text pozn. pod čarou Char"/>
    <w:basedOn w:val="Standardnpsmoodstavce"/>
    <w:link w:val="Textpoznpodarou"/>
    <w:semiHidden/>
    <w:rsid w:val="00843CF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843CF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978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2</cp:revision>
  <dcterms:created xsi:type="dcterms:W3CDTF">2014-01-07T13:04:00Z</dcterms:created>
  <dcterms:modified xsi:type="dcterms:W3CDTF">2014-01-07T13:04:00Z</dcterms:modified>
</cp:coreProperties>
</file>