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020C5F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554D19">
        <w:t>R</w:t>
      </w:r>
      <w:r w:rsidR="00554D19">
        <w:rPr>
          <w:noProof/>
        </w:rPr>
        <w:t>omana Heváková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doc. Ing. Marie Paseková, Ph.D.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830E69">
        <w:rPr>
          <w:noProof/>
        </w:rPr>
        <w:t xml:space="preserve">Analýza </w:t>
      </w:r>
      <w:r w:rsidR="00554D19">
        <w:rPr>
          <w:noProof/>
        </w:rPr>
        <w:t>fúze vybraných akciových společností z účetního a daňového hlediska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554D1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4D1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554D1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4D19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554D1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4D19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554D1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30E69">
              <w:rPr>
                <w:b/>
                <w:noProof/>
                <w:snapToGrid w:val="0"/>
                <w:color w:val="000000"/>
              </w:rPr>
              <w:t>4</w:t>
            </w:r>
            <w:r w:rsidR="00554D19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830E6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830E69" w:rsidRPr="00830E69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554D1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554D19">
              <w:rPr>
                <w:noProof/>
              </w:rPr>
              <w:t>Jaké jsou výhody a nevýhody fúze v dané společnosti.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30E69">
        <w:rPr>
          <w:noProof/>
        </w:rPr>
        <w:t>22. května 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607" w:rsidRDefault="00527607">
      <w:r>
        <w:separator/>
      </w:r>
    </w:p>
  </w:endnote>
  <w:endnote w:type="continuationSeparator" w:id="0">
    <w:p w:rsidR="00527607" w:rsidRDefault="00527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4D19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607" w:rsidRDefault="00527607">
      <w:r>
        <w:separator/>
      </w:r>
    </w:p>
  </w:footnote>
  <w:footnote w:type="continuationSeparator" w:id="0">
    <w:p w:rsidR="00527607" w:rsidRDefault="005276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0C5F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A44F5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210F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7607"/>
    <w:rsid w:val="00535712"/>
    <w:rsid w:val="005365A3"/>
    <w:rsid w:val="00545C61"/>
    <w:rsid w:val="00554D19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1236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0E69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444BE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557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3</cp:revision>
  <cp:lastPrinted>2013-05-22T12:12:00Z</cp:lastPrinted>
  <dcterms:created xsi:type="dcterms:W3CDTF">2013-05-22T12:19:00Z</dcterms:created>
  <dcterms:modified xsi:type="dcterms:W3CDTF">2013-05-22T12:38:00Z</dcterms:modified>
</cp:coreProperties>
</file>