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E32C9" w:rsidP="00CA1943">
            <w:r>
              <w:t>Andrea Němečková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D550FD" w:rsidP="00CA1943">
            <w:r>
              <w:t>Dessau und Zlín, Junkers und Baťa, Bauhaus und Funktionalismus – willkürliche Beispiele oder gegenseitige Inspiration?</w:t>
            </w:r>
          </w:p>
        </w:tc>
      </w:tr>
      <w:tr w:rsidR="000E32C9">
        <w:tc>
          <w:tcPr>
            <w:tcW w:w="2808" w:type="dxa"/>
          </w:tcPr>
          <w:p w:rsidR="000E32C9" w:rsidRDefault="000E32C9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0E32C9" w:rsidRDefault="000E32C9" w:rsidP="000E32C9">
            <w:r>
              <w:t>Mgr. Libor Marek</w:t>
            </w:r>
          </w:p>
        </w:tc>
      </w:tr>
      <w:tr w:rsidR="000E32C9">
        <w:tc>
          <w:tcPr>
            <w:tcW w:w="2808" w:type="dxa"/>
          </w:tcPr>
          <w:p w:rsidR="000E32C9" w:rsidRDefault="000E32C9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0E32C9" w:rsidRDefault="000E32C9" w:rsidP="000E32C9">
            <w:r>
              <w:t>Německý jazyk pro manažerskou praxi</w:t>
            </w:r>
          </w:p>
        </w:tc>
      </w:tr>
      <w:tr w:rsidR="000E32C9">
        <w:tc>
          <w:tcPr>
            <w:tcW w:w="2808" w:type="dxa"/>
          </w:tcPr>
          <w:p w:rsidR="000E32C9" w:rsidRDefault="000E32C9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0E32C9" w:rsidRDefault="000E32C9" w:rsidP="000E32C9">
            <w:r>
              <w:t>Prezenční</w:t>
            </w:r>
          </w:p>
        </w:tc>
      </w:tr>
      <w:tr w:rsidR="000E32C9">
        <w:tc>
          <w:tcPr>
            <w:tcW w:w="2808" w:type="dxa"/>
            <w:vAlign w:val="center"/>
          </w:tcPr>
          <w:p w:rsidR="000E32C9" w:rsidRPr="004179A7" w:rsidRDefault="000E32C9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E32C9" w:rsidRPr="004179A7" w:rsidRDefault="000E32C9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0E32C9" w:rsidRDefault="000E32C9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0E32C9">
        <w:tc>
          <w:tcPr>
            <w:tcW w:w="9828" w:type="dxa"/>
            <w:gridSpan w:val="9"/>
            <w:shd w:val="clear" w:color="auto" w:fill="A6A6A6"/>
          </w:tcPr>
          <w:p w:rsidR="000E32C9" w:rsidRPr="00CA1943" w:rsidRDefault="000E32C9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CA1943">
            <w:r>
              <w:t>Přehlednost a členění práce</w:t>
            </w:r>
          </w:p>
        </w:tc>
        <w:tc>
          <w:tcPr>
            <w:tcW w:w="507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993B88"/>
        </w:tc>
        <w:tc>
          <w:tcPr>
            <w:tcW w:w="507" w:type="dxa"/>
          </w:tcPr>
          <w:p w:rsidR="000E32C9" w:rsidRDefault="00993B88" w:rsidP="00CA1943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DD230D"/>
        </w:tc>
        <w:tc>
          <w:tcPr>
            <w:tcW w:w="505" w:type="dxa"/>
          </w:tcPr>
          <w:p w:rsidR="000E32C9" w:rsidRDefault="000E32C9" w:rsidP="00DD230D"/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Úroveň jazykového zpracování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A05400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5" w:type="dxa"/>
          </w:tcPr>
          <w:p w:rsidR="000E32C9" w:rsidRDefault="000E32C9" w:rsidP="00A05DD0">
            <w:pPr>
              <w:jc w:val="center"/>
            </w:pP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39065B" w:rsidP="00DD230D">
            <w:r>
              <w:t xml:space="preserve"> </w:t>
            </w:r>
          </w:p>
        </w:tc>
        <w:tc>
          <w:tcPr>
            <w:tcW w:w="506" w:type="dxa"/>
          </w:tcPr>
          <w:p w:rsidR="000E32C9" w:rsidRDefault="00993B88" w:rsidP="0039065B">
            <w:r>
              <w:t xml:space="preserve"> C</w:t>
            </w:r>
          </w:p>
        </w:tc>
        <w:tc>
          <w:tcPr>
            <w:tcW w:w="507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5" w:type="dxa"/>
          </w:tcPr>
          <w:p w:rsidR="000E32C9" w:rsidRDefault="000E32C9" w:rsidP="00A05DD0">
            <w:pPr>
              <w:jc w:val="center"/>
            </w:pPr>
          </w:p>
        </w:tc>
      </w:tr>
      <w:tr w:rsidR="000E32C9">
        <w:tc>
          <w:tcPr>
            <w:tcW w:w="9828" w:type="dxa"/>
            <w:gridSpan w:val="9"/>
            <w:shd w:val="clear" w:color="auto" w:fill="A6A6A6"/>
          </w:tcPr>
          <w:p w:rsidR="000E32C9" w:rsidRDefault="000E32C9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Práce s odbornou literaturou</w:t>
            </w:r>
          </w:p>
        </w:tc>
        <w:tc>
          <w:tcPr>
            <w:tcW w:w="507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DD230D"/>
        </w:tc>
        <w:tc>
          <w:tcPr>
            <w:tcW w:w="505" w:type="dxa"/>
          </w:tcPr>
          <w:p w:rsidR="000E32C9" w:rsidRDefault="000E32C9" w:rsidP="00DD230D"/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Formulace cílů práce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400"/>
        </w:tc>
        <w:tc>
          <w:tcPr>
            <w:tcW w:w="506" w:type="dxa"/>
          </w:tcPr>
          <w:p w:rsidR="000E32C9" w:rsidRDefault="00A05400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5" w:type="dxa"/>
          </w:tcPr>
          <w:p w:rsidR="000E32C9" w:rsidRDefault="000E32C9" w:rsidP="00DD230D"/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0E32C9" w:rsidRDefault="000E32C9" w:rsidP="00DD230D"/>
        </w:tc>
        <w:tc>
          <w:tcPr>
            <w:tcW w:w="506" w:type="dxa"/>
            <w:vAlign w:val="center"/>
          </w:tcPr>
          <w:p w:rsidR="000E32C9" w:rsidRDefault="000E32C9" w:rsidP="00DD230D"/>
        </w:tc>
        <w:tc>
          <w:tcPr>
            <w:tcW w:w="506" w:type="dxa"/>
            <w:vAlign w:val="center"/>
          </w:tcPr>
          <w:p w:rsidR="000E32C9" w:rsidRDefault="000E32C9" w:rsidP="00DD230D"/>
        </w:tc>
        <w:tc>
          <w:tcPr>
            <w:tcW w:w="507" w:type="dxa"/>
            <w:vAlign w:val="center"/>
          </w:tcPr>
          <w:p w:rsidR="000E32C9" w:rsidRDefault="000E32C9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0E32C9" w:rsidRDefault="000E32C9" w:rsidP="00CA1943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0E32C9" w:rsidRDefault="000E32C9" w:rsidP="00CA1943">
            <w:pPr>
              <w:jc w:val="center"/>
            </w:pP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7" w:type="dxa"/>
          </w:tcPr>
          <w:p w:rsidR="000E32C9" w:rsidRDefault="0072420D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5" w:type="dxa"/>
          </w:tcPr>
          <w:p w:rsidR="000E32C9" w:rsidRDefault="000E32C9" w:rsidP="00A05DD0">
            <w:pPr>
              <w:jc w:val="center"/>
            </w:pP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400"/>
        </w:tc>
        <w:tc>
          <w:tcPr>
            <w:tcW w:w="507" w:type="dxa"/>
          </w:tcPr>
          <w:p w:rsidR="000E32C9" w:rsidRDefault="00A05400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5" w:type="dxa"/>
          </w:tcPr>
          <w:p w:rsidR="000E32C9" w:rsidRDefault="000E32C9" w:rsidP="00A05DD0">
            <w:pPr>
              <w:jc w:val="center"/>
            </w:pPr>
          </w:p>
        </w:tc>
      </w:tr>
      <w:tr w:rsidR="000E32C9">
        <w:tc>
          <w:tcPr>
            <w:tcW w:w="6791" w:type="dxa"/>
            <w:gridSpan w:val="3"/>
          </w:tcPr>
          <w:p w:rsidR="000E32C9" w:rsidRDefault="000E32C9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5" w:type="dxa"/>
          </w:tcPr>
          <w:p w:rsidR="000E32C9" w:rsidRDefault="000E32C9" w:rsidP="00A05DD0">
            <w:pPr>
              <w:jc w:val="center"/>
            </w:pPr>
          </w:p>
        </w:tc>
      </w:tr>
      <w:tr w:rsidR="000E32C9">
        <w:tc>
          <w:tcPr>
            <w:tcW w:w="9828" w:type="dxa"/>
            <w:gridSpan w:val="9"/>
          </w:tcPr>
          <w:p w:rsidR="000E32C9" w:rsidRDefault="000E32C9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0E32C9" w:rsidRPr="00C1276E" w:rsidRDefault="000E32C9" w:rsidP="00A05DD0"/>
          <w:p w:rsidR="000E32C9" w:rsidRPr="00C1276E" w:rsidRDefault="00E73F28" w:rsidP="00446F5B">
            <w:pPr>
              <w:jc w:val="both"/>
            </w:pPr>
            <w:r>
              <w:t>Diplomantka</w:t>
            </w:r>
            <w:r w:rsidR="0039065B">
              <w:t xml:space="preserve"> ve své práci </w:t>
            </w:r>
            <w:r w:rsidR="00993B88">
              <w:t>srovnala dva fenomény 20. století</w:t>
            </w:r>
            <w:r w:rsidR="0039065B">
              <w:t xml:space="preserve">: Baťův Zlín </w:t>
            </w:r>
            <w:r w:rsidR="00993B88">
              <w:t>s ohledem na funkcionalis</w:t>
            </w:r>
            <w:r>
              <w:t>mus</w:t>
            </w:r>
            <w:r w:rsidR="0039065B">
              <w:t xml:space="preserve"> a tematický komplex </w:t>
            </w:r>
            <w:r w:rsidR="00A05400">
              <w:t xml:space="preserve">Dessau – </w:t>
            </w:r>
            <w:r w:rsidR="0039065B">
              <w:t xml:space="preserve">Bauhaus </w:t>
            </w:r>
            <w:r w:rsidR="00A05400">
              <w:t>–</w:t>
            </w:r>
            <w:r w:rsidR="0039065B">
              <w:t xml:space="preserve"> Junkers. Zásadním nedostatkem práce je její </w:t>
            </w:r>
            <w:r w:rsidR="00A05400">
              <w:t>široký záběr a difu</w:t>
            </w:r>
            <w:r w:rsidR="0039065B">
              <w:t xml:space="preserve">zní charakter. </w:t>
            </w:r>
            <w:r w:rsidR="00A05400">
              <w:t xml:space="preserve">Autorka prezentuje podrobné popisy Dessau a Zlína </w:t>
            </w:r>
            <w:r w:rsidR="00993B88">
              <w:t>(</w:t>
            </w:r>
            <w:r w:rsidR="00A05400">
              <w:t>včetně dějin, krajiny, fauny apod.</w:t>
            </w:r>
            <w:r w:rsidR="00993B88">
              <w:t>).</w:t>
            </w:r>
            <w:r w:rsidR="00A05400">
              <w:t xml:space="preserve"> Tyto pasáže připomínají spíše turistického průvodce než kvalifikační práci. </w:t>
            </w:r>
            <w:r w:rsidR="00446F5B">
              <w:t>Do popisu měst zahrnuje i okolí (</w:t>
            </w:r>
            <w:r>
              <w:t>zámek ve Vizovicích, Luhačovice</w:t>
            </w:r>
            <w:r w:rsidR="00446F5B">
              <w:t xml:space="preserve">). Použité </w:t>
            </w:r>
            <w:r w:rsidR="002B7947">
              <w:t>zdroje</w:t>
            </w:r>
            <w:r w:rsidR="00446F5B">
              <w:t xml:space="preserve"> jsou pochybné, </w:t>
            </w:r>
            <w:r w:rsidR="00993B88">
              <w:t>v</w:t>
            </w:r>
            <w:r w:rsidR="00446F5B">
              <w:t xml:space="preserve"> seznam</w:t>
            </w:r>
            <w:r w:rsidR="00993B88">
              <w:t>u</w:t>
            </w:r>
            <w:r w:rsidR="00446F5B">
              <w:t xml:space="preserve"> elektronických pramenů často figuruje </w:t>
            </w:r>
            <w:r w:rsidR="002B7947">
              <w:t>Wikipedia</w:t>
            </w:r>
            <w:r w:rsidR="00446F5B">
              <w:t>.</w:t>
            </w:r>
          </w:p>
          <w:p w:rsidR="000E32C9" w:rsidRPr="00C1276E" w:rsidRDefault="003C40E6" w:rsidP="00E05F7A">
            <w:pPr>
              <w:ind w:firstLine="425"/>
              <w:jc w:val="both"/>
            </w:pPr>
            <w:r>
              <w:t>Praktická část</w:t>
            </w:r>
            <w:r w:rsidR="00446F5B">
              <w:t xml:space="preserve"> je </w:t>
            </w:r>
            <w:r w:rsidR="00993B88">
              <w:t xml:space="preserve">zcela </w:t>
            </w:r>
            <w:r w:rsidR="00AF24C5">
              <w:t xml:space="preserve">nevyhovující. Zpočátku působí jako </w:t>
            </w:r>
            <w:r w:rsidR="00E73F28">
              <w:t>volné</w:t>
            </w:r>
            <w:r w:rsidR="00993B88">
              <w:t xml:space="preserve"> </w:t>
            </w:r>
            <w:r w:rsidR="00AF24C5">
              <w:t>pokračování teoretické části, po</w:t>
            </w:r>
            <w:r w:rsidR="00E05F7A">
              <w:t xml:space="preserve">sléze skýtá nesouvislá statistická data </w:t>
            </w:r>
            <w:r w:rsidR="00EA1EB2">
              <w:t xml:space="preserve">(např. </w:t>
            </w:r>
            <w:r w:rsidR="00E05F7A">
              <w:t>o firmě Bosch</w:t>
            </w:r>
            <w:r w:rsidR="00EA1EB2">
              <w:t>)</w:t>
            </w:r>
            <w:r w:rsidR="00AF24C5">
              <w:t xml:space="preserve">. </w:t>
            </w:r>
            <w:r w:rsidR="00EA1EB2">
              <w:t>Je zde patrný n</w:t>
            </w:r>
            <w:r w:rsidR="00E05F7A">
              <w:t>áznak po</w:t>
            </w:r>
            <w:r w:rsidR="00EA1EB2">
              <w:t xml:space="preserve">pisu funkcionalistických staveb, ovšem </w:t>
            </w:r>
            <w:r w:rsidR="00E05F7A">
              <w:t>bez analytického přínosu či srovnání. Jednoznačnou o</w:t>
            </w:r>
            <w:r w:rsidR="00841FD7">
              <w:t xml:space="preserve">dpověď na otázku </w:t>
            </w:r>
            <w:r w:rsidR="00E05F7A">
              <w:t xml:space="preserve">položenou </w:t>
            </w:r>
            <w:r w:rsidR="009D71AA">
              <w:t>v</w:t>
            </w:r>
            <w:r w:rsidR="00AF24C5">
              <w:t> </w:t>
            </w:r>
            <w:r w:rsidR="009D71AA">
              <w:t>titul</w:t>
            </w:r>
            <w:r w:rsidR="00AF24C5">
              <w:t xml:space="preserve">u </w:t>
            </w:r>
            <w:r w:rsidR="00E05F7A">
              <w:t>práce čtenář nedostane. S</w:t>
            </w:r>
            <w:r w:rsidR="009D71AA">
              <w:t xml:space="preserve">ystém </w:t>
            </w:r>
            <w:r w:rsidR="00E05F7A">
              <w:t xml:space="preserve">vzájemných vlivů mezi </w:t>
            </w:r>
            <w:r w:rsidR="00E73F28">
              <w:t xml:space="preserve">Bauhausem a </w:t>
            </w:r>
            <w:r w:rsidR="00E05F7A">
              <w:t>funkcionalismem, Baťou a Junkersem zůstává značně zamlžen.</w:t>
            </w:r>
          </w:p>
          <w:p w:rsidR="000E32C9" w:rsidRPr="00C1276E" w:rsidRDefault="00446F5B" w:rsidP="00370D29">
            <w:pPr>
              <w:ind w:firstLine="425"/>
              <w:jc w:val="both"/>
            </w:pPr>
            <w:r>
              <w:t>Předloženou p</w:t>
            </w:r>
            <w:r w:rsidRPr="00596D2F">
              <w:t xml:space="preserve">ráci </w:t>
            </w:r>
            <w:r>
              <w:t>doporučuji k obhajobě a n</w:t>
            </w:r>
            <w:r w:rsidRPr="00596D2F">
              <w:t xml:space="preserve">avrhuji </w:t>
            </w:r>
            <w:r>
              <w:t xml:space="preserve">ji </w:t>
            </w:r>
            <w:r w:rsidRPr="00596D2F">
              <w:t xml:space="preserve">hodnotit </w:t>
            </w:r>
            <w:r>
              <w:t>stupněm D</w:t>
            </w:r>
            <w:r w:rsidRPr="00596D2F">
              <w:t>.</w:t>
            </w:r>
          </w:p>
          <w:p w:rsidR="000E32C9" w:rsidRDefault="000E32C9" w:rsidP="00CA1943"/>
        </w:tc>
      </w:tr>
      <w:tr w:rsidR="000E32C9">
        <w:tc>
          <w:tcPr>
            <w:tcW w:w="9828" w:type="dxa"/>
            <w:gridSpan w:val="9"/>
          </w:tcPr>
          <w:p w:rsidR="000E32C9" w:rsidRDefault="000E32C9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0E32C9" w:rsidRDefault="000E32C9" w:rsidP="00CA1943"/>
          <w:p w:rsidR="000E32C9" w:rsidRDefault="00446F5B" w:rsidP="00446F5B">
            <w:pPr>
              <w:jc w:val="both"/>
            </w:pPr>
            <w:r>
              <w:t xml:space="preserve">1. Spezifizieren Sie die </w:t>
            </w:r>
            <w:r w:rsidR="00AC3756">
              <w:t>historische Epoche</w:t>
            </w:r>
            <w:r>
              <w:t xml:space="preserve">, über die </w:t>
            </w:r>
            <w:r w:rsidR="00AC3756">
              <w:t>im Kapitel 7 berichtet</w:t>
            </w:r>
            <w:r>
              <w:t xml:space="preserve"> wird, vor allem </w:t>
            </w:r>
            <w:r w:rsidR="00233EF6">
              <w:t>folgende</w:t>
            </w:r>
            <w:r>
              <w:t xml:space="preserve"> </w:t>
            </w:r>
            <w:r w:rsidR="00AF24C5">
              <w:t>Behauptung</w:t>
            </w:r>
            <w:r w:rsidR="00233EF6">
              <w:t>:</w:t>
            </w:r>
            <w:r w:rsidR="00AF24C5">
              <w:t xml:space="preserve"> „</w:t>
            </w:r>
            <w:r w:rsidR="00AF24C5">
              <w:rPr>
                <w:sz w:val="23"/>
                <w:szCs w:val="23"/>
              </w:rPr>
              <w:t xml:space="preserve">Die Kritik an den sozialutopischen Aussagen berechtigt nicht dazu, die Theorien des Bauhauses als utopisch zu denunzieren“ </w:t>
            </w:r>
            <w:r w:rsidR="00FD4209">
              <w:t>(S. 58)</w:t>
            </w:r>
            <w:r>
              <w:t>.</w:t>
            </w:r>
          </w:p>
          <w:p w:rsidR="000E32C9" w:rsidRDefault="00446F5B" w:rsidP="00E05F7A">
            <w:pPr>
              <w:jc w:val="both"/>
            </w:pPr>
            <w:r>
              <w:t xml:space="preserve">2. </w:t>
            </w:r>
            <w:r w:rsidR="009D71AA">
              <w:t xml:space="preserve">Erklären </w:t>
            </w:r>
            <w:r>
              <w:t xml:space="preserve">Sie </w:t>
            </w:r>
            <w:r w:rsidR="00AF24C5">
              <w:t xml:space="preserve">eindeutig die </w:t>
            </w:r>
            <w:r>
              <w:t xml:space="preserve">gegenseitigen Beziehungen </w:t>
            </w:r>
            <w:r w:rsidR="00E73F28">
              <w:t>(</w:t>
            </w:r>
            <w:r>
              <w:t>und Einflüsse</w:t>
            </w:r>
            <w:r w:rsidR="00E73F28">
              <w:t>)</w:t>
            </w:r>
            <w:r>
              <w:t xml:space="preserve"> zwischen </w:t>
            </w:r>
            <w:r w:rsidR="00AF24C5">
              <w:t xml:space="preserve">folgenden Begriffen und Namen: Bauhaus, </w:t>
            </w:r>
            <w:r w:rsidR="009D71AA">
              <w:t>Funktionalismus</w:t>
            </w:r>
            <w:r w:rsidR="00AF24C5">
              <w:t>, T. Baťa, H. Junkers.</w:t>
            </w:r>
          </w:p>
          <w:p w:rsidR="000E32C9" w:rsidRDefault="000E32C9" w:rsidP="00CA1943"/>
        </w:tc>
      </w:tr>
      <w:tr w:rsidR="000E32C9">
        <w:tc>
          <w:tcPr>
            <w:tcW w:w="6791" w:type="dxa"/>
            <w:gridSpan w:val="3"/>
          </w:tcPr>
          <w:p w:rsidR="000E32C9" w:rsidRDefault="000E32C9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6" w:type="dxa"/>
          </w:tcPr>
          <w:p w:rsidR="000E32C9" w:rsidRDefault="000E32C9" w:rsidP="00DD230D"/>
        </w:tc>
        <w:tc>
          <w:tcPr>
            <w:tcW w:w="506" w:type="dxa"/>
          </w:tcPr>
          <w:p w:rsidR="000E32C9" w:rsidRDefault="000E32C9" w:rsidP="00DD230D"/>
        </w:tc>
        <w:tc>
          <w:tcPr>
            <w:tcW w:w="507" w:type="dxa"/>
          </w:tcPr>
          <w:p w:rsidR="000E32C9" w:rsidRDefault="000E32C9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0E32C9" w:rsidRDefault="000E32C9" w:rsidP="00A05DD0">
            <w:pPr>
              <w:jc w:val="center"/>
            </w:pPr>
          </w:p>
        </w:tc>
        <w:tc>
          <w:tcPr>
            <w:tcW w:w="505" w:type="dxa"/>
          </w:tcPr>
          <w:p w:rsidR="000E32C9" w:rsidRDefault="000E32C9" w:rsidP="00DD230D"/>
        </w:tc>
      </w:tr>
      <w:tr w:rsidR="000E32C9">
        <w:tc>
          <w:tcPr>
            <w:tcW w:w="4068" w:type="dxa"/>
            <w:gridSpan w:val="2"/>
            <w:vAlign w:val="center"/>
          </w:tcPr>
          <w:p w:rsidR="000E32C9" w:rsidRDefault="00DD230D" w:rsidP="000E32C9">
            <w:r>
              <w:t>Datum: 20</w:t>
            </w:r>
            <w:r w:rsidR="000E32C9">
              <w:t>. 05. 2012</w:t>
            </w:r>
          </w:p>
        </w:tc>
        <w:tc>
          <w:tcPr>
            <w:tcW w:w="5760" w:type="dxa"/>
            <w:gridSpan w:val="7"/>
            <w:vAlign w:val="center"/>
          </w:tcPr>
          <w:p w:rsidR="000E32C9" w:rsidRDefault="000E32C9" w:rsidP="000E32C9">
            <w:r>
              <w:t>Podpis: Libor Marek,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97A" w:rsidRDefault="0057697A">
      <w:r>
        <w:separator/>
      </w:r>
    </w:p>
  </w:endnote>
  <w:endnote w:type="continuationSeparator" w:id="0">
    <w:p w:rsidR="0057697A" w:rsidRDefault="00576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97A" w:rsidRDefault="0057697A">
      <w:r>
        <w:separator/>
      </w:r>
    </w:p>
  </w:footnote>
  <w:footnote w:type="continuationSeparator" w:id="0">
    <w:p w:rsidR="0057697A" w:rsidRDefault="0057697A">
      <w:r>
        <w:continuationSeparator/>
      </w:r>
    </w:p>
  </w:footnote>
  <w:footnote w:id="1">
    <w:p w:rsidR="0072420D" w:rsidRDefault="0072420D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0E32C9"/>
    <w:rsid w:val="00233EF6"/>
    <w:rsid w:val="0028172F"/>
    <w:rsid w:val="002B7947"/>
    <w:rsid w:val="002C174C"/>
    <w:rsid w:val="00311062"/>
    <w:rsid w:val="00353B48"/>
    <w:rsid w:val="00370D29"/>
    <w:rsid w:val="0039065B"/>
    <w:rsid w:val="003C40E6"/>
    <w:rsid w:val="00436EAC"/>
    <w:rsid w:val="00446F5B"/>
    <w:rsid w:val="004F5BC7"/>
    <w:rsid w:val="0057697A"/>
    <w:rsid w:val="006833A9"/>
    <w:rsid w:val="006838CE"/>
    <w:rsid w:val="0072420D"/>
    <w:rsid w:val="00827341"/>
    <w:rsid w:val="00841FD7"/>
    <w:rsid w:val="008911B8"/>
    <w:rsid w:val="008F37A5"/>
    <w:rsid w:val="00921BEA"/>
    <w:rsid w:val="00993B88"/>
    <w:rsid w:val="009D71AA"/>
    <w:rsid w:val="00A05400"/>
    <w:rsid w:val="00A05DD0"/>
    <w:rsid w:val="00AC3756"/>
    <w:rsid w:val="00AF24C5"/>
    <w:rsid w:val="00C1276E"/>
    <w:rsid w:val="00C138E2"/>
    <w:rsid w:val="00C231EB"/>
    <w:rsid w:val="00CA1943"/>
    <w:rsid w:val="00D550FD"/>
    <w:rsid w:val="00DD230D"/>
    <w:rsid w:val="00E05F7A"/>
    <w:rsid w:val="00E73F28"/>
    <w:rsid w:val="00EA1EB2"/>
    <w:rsid w:val="00F11D3A"/>
    <w:rsid w:val="00FD3FF2"/>
    <w:rsid w:val="00FD4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2</cp:revision>
  <dcterms:created xsi:type="dcterms:W3CDTF">2012-05-21T05:43:00Z</dcterms:created>
  <dcterms:modified xsi:type="dcterms:W3CDTF">2012-05-21T05:43:00Z</dcterms:modified>
</cp:coreProperties>
</file>