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B9246A" w:rsidRDefault="00B9246A" w:rsidP="00B9246A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9246A" w:rsidRDefault="00B9246A" w:rsidP="00B9246A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9246A" w:rsidRPr="00144ABC" w:rsidRDefault="00B9246A" w:rsidP="00B9246A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 w:rsidR="00480C86">
        <w:rPr>
          <w:rFonts w:ascii="Times New Roman" w:hAnsi="Times New Roman"/>
          <w:i/>
          <w:sz w:val="24"/>
          <w:szCs w:val="24"/>
        </w:rPr>
        <w:t>vedoucího bakalářské</w:t>
      </w:r>
      <w:r w:rsidRPr="00144ABC">
        <w:rPr>
          <w:rFonts w:ascii="Times New Roman" w:hAnsi="Times New Roman"/>
          <w:i/>
          <w:sz w:val="24"/>
          <w:szCs w:val="24"/>
        </w:rPr>
        <w:t xml:space="preserve"> práce</w:t>
      </w:r>
    </w:p>
    <w:p w:rsidR="0015312E" w:rsidRDefault="0015312E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</w:p>
    <w:p w:rsidR="0015312E" w:rsidRDefault="0015312E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</w:p>
    <w:p w:rsidR="00B9246A" w:rsidRPr="00544856" w:rsidRDefault="00B9246A" w:rsidP="00B9246A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B5677F">
        <w:rPr>
          <w:rFonts w:ascii="Times New Roman" w:hAnsi="Times New Roman"/>
          <w:b w:val="0"/>
          <w:sz w:val="24"/>
          <w:szCs w:val="24"/>
        </w:rPr>
        <w:t xml:space="preserve">Dagmar </w:t>
      </w:r>
      <w:proofErr w:type="spellStart"/>
      <w:r w:rsidR="00B5677F">
        <w:rPr>
          <w:rFonts w:ascii="Times New Roman" w:hAnsi="Times New Roman"/>
          <w:b w:val="0"/>
          <w:sz w:val="24"/>
          <w:szCs w:val="24"/>
        </w:rPr>
        <w:t>Čaďová</w:t>
      </w:r>
      <w:proofErr w:type="spellEnd"/>
    </w:p>
    <w:p w:rsidR="00B9246A" w:rsidRPr="004D40E0" w:rsidRDefault="00B9246A" w:rsidP="00B9246A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B5677F">
        <w:rPr>
          <w:b/>
          <w:sz w:val="24"/>
          <w:szCs w:val="24"/>
        </w:rPr>
        <w:t>Pedagogická problematika v literatuře</w:t>
      </w:r>
      <w:r w:rsidRPr="004D40E0">
        <w:rPr>
          <w:sz w:val="24"/>
          <w:szCs w:val="24"/>
        </w:rPr>
        <w:tab/>
      </w:r>
    </w:p>
    <w:p w:rsidR="00B9246A" w:rsidRPr="004D40E0" w:rsidRDefault="00B9246A" w:rsidP="00B9246A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>
        <w:rPr>
          <w:sz w:val="24"/>
          <w:szCs w:val="24"/>
        </w:rPr>
        <w:t xml:space="preserve"> Mgr. Michal Vavřík</w:t>
      </w:r>
    </w:p>
    <w:p w:rsidR="00B9246A" w:rsidRDefault="00B9246A" w:rsidP="00B9246A">
      <w:pPr>
        <w:jc w:val="both"/>
        <w:rPr>
          <w:sz w:val="24"/>
          <w:szCs w:val="24"/>
        </w:rPr>
      </w:pPr>
    </w:p>
    <w:p w:rsidR="0015312E" w:rsidRDefault="0015312E" w:rsidP="00B9246A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480C86" w:rsidRDefault="00B5677F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Volba tématu je vysvětlena hned v úvodu (s. 2); existují autoři, kteří se snažili a snaží využít literatury jako nástroje pro vzdělání a výchovu. </w:t>
      </w:r>
      <w:proofErr w:type="spellStart"/>
      <w:r w:rsidRPr="00894AC3">
        <w:rPr>
          <w:i/>
          <w:sz w:val="24"/>
          <w:szCs w:val="24"/>
        </w:rPr>
        <w:t>Bildungsroman</w:t>
      </w:r>
      <w:proofErr w:type="spellEnd"/>
      <w:r>
        <w:rPr>
          <w:sz w:val="24"/>
          <w:szCs w:val="24"/>
        </w:rPr>
        <w:t xml:space="preserve"> je specifickým žánrem, který tak v mnoha ohledech fungoval analogicky k dnes populárním a komentovaným příručkám pro rodiče a vychovatele. Přitom samozřejmě přijal formu, která se tomu či onomu autorovi zdála nejvhodnější. Autorka práce se rozhodla podniknout zkoumání dvou příkladů a na základě kvalitativní obsahové analýzy odpovědět na stanovené výzkumné otázky. (s. 2)</w:t>
      </w:r>
    </w:p>
    <w:p w:rsidR="00B5677F" w:rsidRDefault="00B5677F" w:rsidP="00C05394">
      <w:pPr>
        <w:jc w:val="both"/>
        <w:rPr>
          <w:sz w:val="24"/>
          <w:szCs w:val="24"/>
        </w:rPr>
      </w:pPr>
    </w:p>
    <w:p w:rsidR="00480C86" w:rsidRPr="00480C86" w:rsidRDefault="00480C86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480C86" w:rsidRDefault="00B5677F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Struktura práce odpovídá tématu a cíli práce. Obsahuje úvodní kapitolu, která vyjasňuje chápání pojmu </w:t>
      </w:r>
      <w:proofErr w:type="spellStart"/>
      <w:r w:rsidRPr="00894AC3">
        <w:rPr>
          <w:i/>
          <w:sz w:val="24"/>
          <w:szCs w:val="24"/>
        </w:rPr>
        <w:t>Bildungsroman</w:t>
      </w:r>
      <w:proofErr w:type="spellEnd"/>
      <w:r>
        <w:rPr>
          <w:sz w:val="24"/>
          <w:szCs w:val="24"/>
        </w:rPr>
        <w:t>, jež právě proto, že je popisem výchovy</w:t>
      </w:r>
      <w:r w:rsidR="0009569B">
        <w:rPr>
          <w:sz w:val="24"/>
          <w:szCs w:val="24"/>
        </w:rPr>
        <w:t>,</w:t>
      </w:r>
      <w:r>
        <w:rPr>
          <w:sz w:val="24"/>
          <w:szCs w:val="24"/>
        </w:rPr>
        <w:t xml:space="preserve"> nabyl poněkud jiných významů napříč různými společenskými kontexty. Následuje představení dvou vybraných románů. Poslední částí je analýza a syntéza poznatků.</w:t>
      </w:r>
    </w:p>
    <w:p w:rsidR="00244C66" w:rsidRDefault="00244C66" w:rsidP="00C05394">
      <w:pPr>
        <w:jc w:val="both"/>
        <w:rPr>
          <w:sz w:val="24"/>
          <w:szCs w:val="24"/>
        </w:rPr>
      </w:pPr>
    </w:p>
    <w:p w:rsidR="00244C66" w:rsidRDefault="00244C66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Metoda kvalitativní obsahové analýzy je vhodná, postrádám detailnější vymezení, jakých postupů bude použito.</w:t>
      </w:r>
    </w:p>
    <w:p w:rsidR="00A90E71" w:rsidRDefault="00A90E71" w:rsidP="00C05394">
      <w:pPr>
        <w:jc w:val="both"/>
        <w:rPr>
          <w:sz w:val="24"/>
          <w:szCs w:val="24"/>
        </w:rPr>
      </w:pPr>
    </w:p>
    <w:p w:rsidR="00A90E71" w:rsidRDefault="00A90E71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Oddělit od sebe představení románů a jejich analýzu se sice jeví vhodné, nicméně by v tomto případě první z nich mohlo být stručnější. V současné podobě se představení děje prolíná s vytýčením klíčových bodů a principů, avšak jejich identifikace měla být</w:t>
      </w:r>
      <w:r w:rsidR="0009569B">
        <w:rPr>
          <w:sz w:val="24"/>
          <w:szCs w:val="24"/>
        </w:rPr>
        <w:t>,</w:t>
      </w:r>
      <w:r>
        <w:rPr>
          <w:sz w:val="24"/>
          <w:szCs w:val="24"/>
        </w:rPr>
        <w:t xml:space="preserve"> metodologicky vzato</w:t>
      </w:r>
      <w:r w:rsidR="0009569B">
        <w:rPr>
          <w:sz w:val="24"/>
          <w:szCs w:val="24"/>
        </w:rPr>
        <w:t>,</w:t>
      </w:r>
      <w:r>
        <w:rPr>
          <w:sz w:val="24"/>
          <w:szCs w:val="24"/>
        </w:rPr>
        <w:t xml:space="preserve"> až předmětem kapitoly následu</w:t>
      </w:r>
      <w:r w:rsidR="00DB5F50">
        <w:rPr>
          <w:sz w:val="24"/>
          <w:szCs w:val="24"/>
        </w:rPr>
        <w:t>jící. (s. 16</w:t>
      </w:r>
      <w:r>
        <w:rPr>
          <w:sz w:val="24"/>
          <w:szCs w:val="24"/>
        </w:rPr>
        <w:t>nn.)</w:t>
      </w:r>
      <w:r w:rsidR="00BB5779">
        <w:rPr>
          <w:sz w:val="24"/>
          <w:szCs w:val="24"/>
        </w:rPr>
        <w:t xml:space="preserve"> Jednotlivé postavy jsou například uchopeny jako určité „sociální typy“ (s. 23–25</w:t>
      </w:r>
      <w:r w:rsidR="00DB5F50">
        <w:rPr>
          <w:sz w:val="24"/>
          <w:szCs w:val="24"/>
        </w:rPr>
        <w:t>, u Dickense nikoliv – s. 46–48</w:t>
      </w:r>
      <w:r w:rsidR="00BB5779">
        <w:rPr>
          <w:sz w:val="24"/>
          <w:szCs w:val="24"/>
        </w:rPr>
        <w:t xml:space="preserve">), </w:t>
      </w:r>
      <w:r w:rsidR="0009569B">
        <w:rPr>
          <w:sz w:val="24"/>
          <w:szCs w:val="24"/>
        </w:rPr>
        <w:t xml:space="preserve">a </w:t>
      </w:r>
      <w:r w:rsidR="00BB5779">
        <w:rPr>
          <w:sz w:val="24"/>
          <w:szCs w:val="24"/>
        </w:rPr>
        <w:t>právě to je již krok v analýze. Mimo tuto námitku však tyto pasáže hodnotím jako zdařilé</w:t>
      </w:r>
      <w:r w:rsidR="00DB5F50">
        <w:rPr>
          <w:sz w:val="24"/>
          <w:szCs w:val="24"/>
        </w:rPr>
        <w:t>.</w:t>
      </w:r>
    </w:p>
    <w:p w:rsidR="00B5677F" w:rsidRDefault="00B5677F" w:rsidP="00C05394">
      <w:pPr>
        <w:jc w:val="both"/>
        <w:rPr>
          <w:sz w:val="24"/>
          <w:szCs w:val="24"/>
        </w:rPr>
      </w:pPr>
    </w:p>
    <w:p w:rsidR="00B5677F" w:rsidRDefault="00B5677F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894AC3" w:rsidRDefault="008D7390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Kapitoly, kde autorka charakterizuje žánr, pokud je budeme považovat za pouhý úvod k hlavní části práce, jsou informačně dostatečné. (s. 4–8)</w:t>
      </w:r>
      <w:r w:rsidR="001C13D2">
        <w:rPr>
          <w:sz w:val="24"/>
          <w:szCs w:val="24"/>
        </w:rPr>
        <w:t xml:space="preserve"> Oceňuji to, že autorka dokázala sestavit obraz autorů a jejich doby, který není příliš zdeformován současnými stereotypy. U </w:t>
      </w:r>
      <w:proofErr w:type="spellStart"/>
      <w:r w:rsidR="001C13D2">
        <w:rPr>
          <w:sz w:val="24"/>
          <w:szCs w:val="24"/>
        </w:rPr>
        <w:t>Goetheho</w:t>
      </w:r>
      <w:proofErr w:type="spellEnd"/>
      <w:r w:rsidR="001C13D2">
        <w:rPr>
          <w:sz w:val="24"/>
          <w:szCs w:val="24"/>
        </w:rPr>
        <w:t xml:space="preserve"> a době osvícení tak vidíme správně identifikované, ale ve školských výkladech často přehlížené, vlivy jako pietismus (s. 14), dopad absolutismu na pozdější demokratizaci (s. 15)</w:t>
      </w:r>
      <w:r w:rsidR="006708AE">
        <w:rPr>
          <w:sz w:val="24"/>
          <w:szCs w:val="24"/>
        </w:rPr>
        <w:t xml:space="preserve"> nebo</w:t>
      </w:r>
      <w:r w:rsidR="00A90E71">
        <w:rPr>
          <w:sz w:val="24"/>
          <w:szCs w:val="24"/>
        </w:rPr>
        <w:t xml:space="preserve"> nemalý vliv, který měli francouzští utopičtí socialisté v Německu (s. 18).</w:t>
      </w:r>
      <w:r w:rsidR="006708AE">
        <w:rPr>
          <w:sz w:val="24"/>
          <w:szCs w:val="24"/>
        </w:rPr>
        <w:t xml:space="preserve"> V kapitole o Dickensově románu si autorka správně všímá existence sociálního radikalismu po napoleonských válkách (s. 32</w:t>
      </w:r>
      <w:r w:rsidR="00EA30E7">
        <w:rPr>
          <w:sz w:val="24"/>
          <w:szCs w:val="24"/>
        </w:rPr>
        <w:t>–35</w:t>
      </w:r>
      <w:r w:rsidR="006708AE">
        <w:rPr>
          <w:sz w:val="24"/>
          <w:szCs w:val="24"/>
        </w:rPr>
        <w:t>).</w:t>
      </w:r>
    </w:p>
    <w:p w:rsidR="00C05394" w:rsidRDefault="00C05394" w:rsidP="00C05394">
      <w:pPr>
        <w:jc w:val="both"/>
        <w:rPr>
          <w:sz w:val="24"/>
          <w:szCs w:val="24"/>
        </w:rPr>
      </w:pPr>
    </w:p>
    <w:p w:rsidR="00DB5F50" w:rsidRPr="00DB5F50" w:rsidRDefault="00DB5F50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Provedená analýza se omezuje na zodpovězení výzkumných otázek, což je sice poněkud schematické, nicméně zjištění rozhodně nejsou triviální a navíc, jak se zdá, otvírají mnoho dalších otázek k novým poznatkům, v závislosti obeznámenosti čtenářů s problematikou. (s. 49nn.)</w:t>
      </w:r>
    </w:p>
    <w:p w:rsidR="00372D9C" w:rsidRDefault="00372D9C" w:rsidP="00C05394">
      <w:pPr>
        <w:jc w:val="both"/>
        <w:rPr>
          <w:i/>
          <w:sz w:val="24"/>
          <w:szCs w:val="24"/>
        </w:rPr>
      </w:pPr>
    </w:p>
    <w:p w:rsidR="0009569B" w:rsidRDefault="0009569B" w:rsidP="00C05394">
      <w:pPr>
        <w:jc w:val="both"/>
        <w:rPr>
          <w:i/>
          <w:sz w:val="24"/>
          <w:szCs w:val="24"/>
        </w:rPr>
      </w:pPr>
    </w:p>
    <w:p w:rsidR="00B9246A" w:rsidRPr="002007D0" w:rsidRDefault="00B9246A" w:rsidP="00C0539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lastRenderedPageBreak/>
        <w:t>Práce s literaturou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B9246A" w:rsidRDefault="00894AC3" w:rsidP="00C05394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Autorka </w:t>
      </w:r>
      <w:r w:rsidR="006708AE">
        <w:rPr>
          <w:sz w:val="24"/>
          <w:szCs w:val="24"/>
        </w:rPr>
        <w:t xml:space="preserve">při interpretacích </w:t>
      </w:r>
      <w:r>
        <w:rPr>
          <w:sz w:val="24"/>
          <w:szCs w:val="24"/>
        </w:rPr>
        <w:t xml:space="preserve">používá </w:t>
      </w:r>
      <w:r w:rsidR="006708AE">
        <w:rPr>
          <w:sz w:val="24"/>
          <w:szCs w:val="24"/>
        </w:rPr>
        <w:t>práce</w:t>
      </w:r>
      <w:r>
        <w:rPr>
          <w:sz w:val="24"/>
          <w:szCs w:val="24"/>
        </w:rPr>
        <w:t xml:space="preserve"> autorů dobře etablovaných na poli humanitní vzdělanosti (</w:t>
      </w:r>
      <w:proofErr w:type="spellStart"/>
      <w:r>
        <w:rPr>
          <w:sz w:val="24"/>
          <w:szCs w:val="24"/>
        </w:rPr>
        <w:t>Bachtin</w:t>
      </w:r>
      <w:proofErr w:type="spellEnd"/>
      <w:r>
        <w:rPr>
          <w:sz w:val="24"/>
          <w:szCs w:val="24"/>
        </w:rPr>
        <w:t xml:space="preserve">, </w:t>
      </w:r>
      <w:proofErr w:type="spellStart"/>
      <w:r w:rsidR="006708AE">
        <w:rPr>
          <w:sz w:val="24"/>
          <w:szCs w:val="24"/>
        </w:rPr>
        <w:t>Zweig</w:t>
      </w:r>
      <w:proofErr w:type="spellEnd"/>
      <w:r w:rsidR="006708AE">
        <w:rPr>
          <w:sz w:val="24"/>
          <w:szCs w:val="24"/>
        </w:rPr>
        <w:t xml:space="preserve">, </w:t>
      </w:r>
      <w:proofErr w:type="spellStart"/>
      <w:r w:rsidR="006708AE">
        <w:rPr>
          <w:sz w:val="24"/>
          <w:szCs w:val="24"/>
        </w:rPr>
        <w:t>Maurois</w:t>
      </w:r>
      <w:proofErr w:type="spellEnd"/>
      <w:r w:rsidR="006708AE"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Hrabák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Šamalík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Goldstücker</w:t>
      </w:r>
      <w:proofErr w:type="spellEnd"/>
      <w:r>
        <w:rPr>
          <w:sz w:val="24"/>
          <w:szCs w:val="24"/>
        </w:rPr>
        <w:t>).</w:t>
      </w:r>
      <w:r w:rsidR="008D7390">
        <w:rPr>
          <w:sz w:val="24"/>
          <w:szCs w:val="24"/>
        </w:rPr>
        <w:t xml:space="preserve"> </w:t>
      </w:r>
      <w:r w:rsidR="006708AE">
        <w:rPr>
          <w:sz w:val="24"/>
          <w:szCs w:val="24"/>
        </w:rPr>
        <w:t xml:space="preserve">Partie věnované historii vycházejí z uznávaných titulů. Celkový rozsah literatury je dobrý. V interpretaci autorka spoléhá hodně na určité (samy o sobě vhodně zvolené) zdroje (Cipro, </w:t>
      </w:r>
      <w:proofErr w:type="spellStart"/>
      <w:r w:rsidR="006708AE">
        <w:rPr>
          <w:sz w:val="24"/>
          <w:szCs w:val="24"/>
        </w:rPr>
        <w:t>Goldstücker</w:t>
      </w:r>
      <w:proofErr w:type="spellEnd"/>
      <w:r w:rsidR="006708AE">
        <w:rPr>
          <w:sz w:val="24"/>
          <w:szCs w:val="24"/>
        </w:rPr>
        <w:t xml:space="preserve">) a kritičtější přístup k nim mohl být ještě vylepšením celé práce. </w:t>
      </w:r>
      <w:r w:rsidR="008D7390">
        <w:rPr>
          <w:sz w:val="24"/>
          <w:szCs w:val="24"/>
        </w:rPr>
        <w:t xml:space="preserve">Citovány jsou i práce patřící ke studovanému oboru (viz </w:t>
      </w:r>
      <w:r w:rsidR="00BB5779">
        <w:rPr>
          <w:sz w:val="24"/>
          <w:szCs w:val="24"/>
        </w:rPr>
        <w:t xml:space="preserve">například </w:t>
      </w:r>
      <w:r w:rsidR="008D7390">
        <w:rPr>
          <w:sz w:val="24"/>
          <w:szCs w:val="24"/>
        </w:rPr>
        <w:t>s. 13–14</w:t>
      </w:r>
      <w:r w:rsidR="00BB5779">
        <w:rPr>
          <w:sz w:val="24"/>
          <w:szCs w:val="24"/>
        </w:rPr>
        <w:t xml:space="preserve"> a 53–59</w:t>
      </w:r>
      <w:r w:rsidR="008D7390">
        <w:rPr>
          <w:sz w:val="24"/>
          <w:szCs w:val="24"/>
        </w:rPr>
        <w:t xml:space="preserve">). </w:t>
      </w:r>
    </w:p>
    <w:p w:rsidR="003D1F5D" w:rsidRDefault="003D1F5D" w:rsidP="00C05394">
      <w:pPr>
        <w:jc w:val="both"/>
        <w:rPr>
          <w:i/>
          <w:sz w:val="24"/>
          <w:szCs w:val="24"/>
        </w:rPr>
      </w:pPr>
    </w:p>
    <w:p w:rsidR="003D1F5D" w:rsidRPr="004D40E0" w:rsidRDefault="003D1F5D" w:rsidP="00C05394">
      <w:pPr>
        <w:jc w:val="both"/>
        <w:rPr>
          <w:i/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DB5F50" w:rsidRPr="004D40E0" w:rsidRDefault="00DB5F50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Rozsah práce odpovídá požadavkům. Jazyková a stylistická stránka práce je v pořádku, text mohl být členěn na méně odstavců. Po formální stránce je práce dobrá, </w:t>
      </w:r>
      <w:r w:rsidR="00244C66">
        <w:rPr>
          <w:sz w:val="24"/>
          <w:szCs w:val="24"/>
        </w:rPr>
        <w:t>místy jsou nekorektní odkazy na internetové zdroje.</w:t>
      </w:r>
    </w:p>
    <w:p w:rsidR="00903971" w:rsidRDefault="00903971" w:rsidP="00C05394">
      <w:pPr>
        <w:jc w:val="both"/>
        <w:rPr>
          <w:sz w:val="24"/>
          <w:szCs w:val="24"/>
        </w:rPr>
      </w:pPr>
    </w:p>
    <w:p w:rsidR="0015312E" w:rsidRPr="004D40E0" w:rsidRDefault="0015312E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B9246A" w:rsidRDefault="00244C66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Představte komisi svá zjištění toho, jak se u </w:t>
      </w:r>
      <w:proofErr w:type="spellStart"/>
      <w:r>
        <w:rPr>
          <w:sz w:val="24"/>
          <w:szCs w:val="24"/>
        </w:rPr>
        <w:t>Goetha</w:t>
      </w:r>
      <w:proofErr w:type="spellEnd"/>
      <w:r>
        <w:rPr>
          <w:sz w:val="24"/>
          <w:szCs w:val="24"/>
        </w:rPr>
        <w:t xml:space="preserve"> a Dickense liší (anebo shoduje) pohled na peníze a jejich působení na mladého člověka.</w:t>
      </w:r>
    </w:p>
    <w:p w:rsidR="00B5677F" w:rsidRPr="004D40E0" w:rsidRDefault="00B5677F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</w:p>
    <w:p w:rsidR="00903971" w:rsidRDefault="00903971" w:rsidP="00C05394">
      <w:pPr>
        <w:jc w:val="both"/>
        <w:rPr>
          <w:sz w:val="24"/>
          <w:szCs w:val="24"/>
        </w:rPr>
      </w:pPr>
    </w:p>
    <w:p w:rsidR="00903971" w:rsidRPr="004D40E0" w:rsidRDefault="00903971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B9246A" w:rsidRPr="004D40E0" w:rsidRDefault="00B9246A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Pr="004D40E0">
        <w:rPr>
          <w:sz w:val="24"/>
          <w:szCs w:val="24"/>
        </w:rPr>
        <w:t xml:space="preserve"> k obhajobě a hodnotím ji</w:t>
      </w:r>
      <w:r>
        <w:rPr>
          <w:sz w:val="24"/>
          <w:szCs w:val="24"/>
        </w:rPr>
        <w:t xml:space="preserve"> stupněm</w:t>
      </w:r>
      <w:r w:rsidR="00D37F99">
        <w:rPr>
          <w:sz w:val="24"/>
          <w:szCs w:val="24"/>
        </w:rPr>
        <w:t xml:space="preserve"> </w:t>
      </w:r>
      <w:r w:rsidR="00D37F99" w:rsidRPr="00D37F99">
        <w:rPr>
          <w:b/>
          <w:sz w:val="24"/>
          <w:szCs w:val="24"/>
        </w:rPr>
        <w:t>B</w:t>
      </w:r>
      <w:r w:rsidR="0015312E" w:rsidRPr="0015312E">
        <w:rPr>
          <w:sz w:val="24"/>
          <w:szCs w:val="24"/>
        </w:rPr>
        <w:t>.</w:t>
      </w:r>
    </w:p>
    <w:p w:rsidR="00B9246A" w:rsidRPr="004D40E0" w:rsidRDefault="00B9246A" w:rsidP="00B9246A">
      <w:pPr>
        <w:jc w:val="both"/>
        <w:rPr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Pr="002007D0" w:rsidRDefault="00B9246A" w:rsidP="00B9246A">
      <w:pPr>
        <w:jc w:val="both"/>
        <w:rPr>
          <w:sz w:val="24"/>
          <w:szCs w:val="24"/>
        </w:rPr>
      </w:pPr>
      <w:proofErr w:type="gramStart"/>
      <w:r w:rsidRPr="004D40E0">
        <w:rPr>
          <w:i/>
          <w:sz w:val="24"/>
          <w:szCs w:val="24"/>
        </w:rPr>
        <w:t xml:space="preserve">Datum  </w:t>
      </w:r>
      <w:r>
        <w:rPr>
          <w:b/>
          <w:sz w:val="24"/>
          <w:szCs w:val="24"/>
        </w:rPr>
        <w:t xml:space="preserve"> </w:t>
      </w:r>
      <w:r w:rsidR="0009569B">
        <w:rPr>
          <w:sz w:val="24"/>
          <w:szCs w:val="24"/>
        </w:rPr>
        <w:t>20</w:t>
      </w:r>
      <w:proofErr w:type="gramEnd"/>
      <w:r>
        <w:rPr>
          <w:sz w:val="24"/>
          <w:szCs w:val="24"/>
        </w:rPr>
        <w:t xml:space="preserve">. </w:t>
      </w:r>
      <w:r w:rsidR="0009569B">
        <w:rPr>
          <w:sz w:val="24"/>
          <w:szCs w:val="24"/>
        </w:rPr>
        <w:t>května</w:t>
      </w:r>
      <w:r>
        <w:rPr>
          <w:sz w:val="24"/>
          <w:szCs w:val="24"/>
        </w:rPr>
        <w:t xml:space="preserve">  201</w:t>
      </w:r>
      <w:r w:rsidR="0009569B">
        <w:rPr>
          <w:sz w:val="24"/>
          <w:szCs w:val="24"/>
        </w:rPr>
        <w:t>1</w:t>
      </w:r>
    </w:p>
    <w:p w:rsidR="00B9246A" w:rsidRPr="004D40E0" w:rsidRDefault="00B9246A" w:rsidP="00B9246A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B9246A" w:rsidRPr="004D40E0" w:rsidRDefault="00B9246A" w:rsidP="00B9246A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B9246A" w:rsidRPr="004D40E0" w:rsidRDefault="00B9246A" w:rsidP="00B9246A">
      <w:pPr>
        <w:rPr>
          <w:sz w:val="24"/>
          <w:szCs w:val="24"/>
        </w:rPr>
      </w:pPr>
    </w:p>
    <w:p w:rsidR="00B9246A" w:rsidRDefault="00B9246A" w:rsidP="00B9246A">
      <w:pPr>
        <w:pBdr>
          <w:top w:val="single" w:sz="4" w:space="1" w:color="auto"/>
        </w:pBdr>
      </w:pP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stanoveného termínu na studijní administrativu IMS Brno, Veveří 111, 616 00 Brno (e-mail: </w:t>
      </w:r>
      <w:hyperlink r:id="rId5" w:history="1">
        <w:r w:rsidRPr="006400F4">
          <w:rPr>
            <w:rStyle w:val="Hypertextovodkaz"/>
            <w:sz w:val="16"/>
            <w:szCs w:val="16"/>
          </w:rPr>
          <w:t>imsbrno@iol.cz</w:t>
        </w:r>
      </w:hyperlink>
      <w:r w:rsidRPr="006400F4">
        <w:rPr>
          <w:sz w:val="16"/>
          <w:szCs w:val="16"/>
        </w:rPr>
        <w:t>).</w:t>
      </w:r>
    </w:p>
    <w:p w:rsidR="00B9246A" w:rsidRDefault="00B9246A" w:rsidP="00B9246A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p w:rsidR="00A842C2" w:rsidRDefault="00A842C2"/>
    <w:sectPr w:rsidR="00A842C2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246A"/>
    <w:rsid w:val="0009569B"/>
    <w:rsid w:val="000C2BD6"/>
    <w:rsid w:val="0015312E"/>
    <w:rsid w:val="001B4E17"/>
    <w:rsid w:val="001C13D2"/>
    <w:rsid w:val="00216ABC"/>
    <w:rsid w:val="00244C66"/>
    <w:rsid w:val="00305545"/>
    <w:rsid w:val="00372D9C"/>
    <w:rsid w:val="003734D4"/>
    <w:rsid w:val="003D1F5D"/>
    <w:rsid w:val="003F3F0B"/>
    <w:rsid w:val="00480C86"/>
    <w:rsid w:val="005B154B"/>
    <w:rsid w:val="005D68B0"/>
    <w:rsid w:val="005F67D8"/>
    <w:rsid w:val="006708AE"/>
    <w:rsid w:val="00675B0B"/>
    <w:rsid w:val="007400C7"/>
    <w:rsid w:val="007A3E11"/>
    <w:rsid w:val="00874FB5"/>
    <w:rsid w:val="00894AC3"/>
    <w:rsid w:val="008D7390"/>
    <w:rsid w:val="00903971"/>
    <w:rsid w:val="00A842C2"/>
    <w:rsid w:val="00A90E71"/>
    <w:rsid w:val="00AF4813"/>
    <w:rsid w:val="00B243D6"/>
    <w:rsid w:val="00B5677F"/>
    <w:rsid w:val="00B71FB4"/>
    <w:rsid w:val="00B9246A"/>
    <w:rsid w:val="00BB5779"/>
    <w:rsid w:val="00C05394"/>
    <w:rsid w:val="00C62690"/>
    <w:rsid w:val="00D37F99"/>
    <w:rsid w:val="00DB5F50"/>
    <w:rsid w:val="00DC2E60"/>
    <w:rsid w:val="00DD1AED"/>
    <w:rsid w:val="00EA30E7"/>
    <w:rsid w:val="00F13018"/>
    <w:rsid w:val="00F151D1"/>
    <w:rsid w:val="00F16E0B"/>
    <w:rsid w:val="00F448F4"/>
    <w:rsid w:val="00F715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2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B9246A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B9246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B9246A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B9246A"/>
    <w:rPr>
      <w:rFonts w:ascii="Arial Unicode MS" w:eastAsia="Arial Unicode MS" w:hAnsi="Arial Unicode MS" w:cs="Times New Roman"/>
      <w:b/>
      <w:szCs w:val="20"/>
      <w:lang w:eastAsia="cs-CZ"/>
    </w:rPr>
  </w:style>
  <w:style w:type="character" w:styleId="Hypertextovodkaz">
    <w:name w:val="Hyperlink"/>
    <w:basedOn w:val="Standardnpsmoodstavce"/>
    <w:rsid w:val="00B9246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9569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569B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imsbrno@iol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CD5F1-D3EA-4030-BB33-944D3CD37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641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Vavřík</dc:creator>
  <cp:keywords/>
  <dc:description/>
  <cp:lastModifiedBy>Michal Vavřík</cp:lastModifiedBy>
  <cp:revision>7</cp:revision>
  <cp:lastPrinted>2011-05-20T15:10:00Z</cp:lastPrinted>
  <dcterms:created xsi:type="dcterms:W3CDTF">2011-05-06T12:46:00Z</dcterms:created>
  <dcterms:modified xsi:type="dcterms:W3CDTF">2011-05-20T15:15:00Z</dcterms:modified>
</cp:coreProperties>
</file>